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4D" w:rsidRPr="00757849" w:rsidRDefault="00E4064D" w:rsidP="00E4064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4064D" w:rsidRPr="00757849" w:rsidRDefault="00E4064D" w:rsidP="00E4064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4064D" w:rsidRPr="00757849" w:rsidRDefault="00E4064D" w:rsidP="00E4064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04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4064D" w:rsidRDefault="00E4064D" w:rsidP="00E4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4064D" w:rsidRDefault="00E4064D" w:rsidP="00E4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064D" w:rsidRDefault="00E4064D" w:rsidP="00E4064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0C9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E4064D" w:rsidRPr="00740C90" w:rsidRDefault="00E4064D" w:rsidP="00E4064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40C90">
        <w:rPr>
          <w:rFonts w:ascii="Times New Roman" w:hAnsi="Times New Roman" w:cs="Times New Roman"/>
          <w:sz w:val="26"/>
          <w:szCs w:val="26"/>
          <w:lang w:val="uk-UA"/>
        </w:rPr>
        <w:t xml:space="preserve">изнати підтвердженою інформацію про недостовірність тверджень, указаних суддею Вищого антикорупційного суду Гавриленко Тетяною Григорівною в декларації доброчесності судді за 2019 рік. </w:t>
      </w:r>
    </w:p>
    <w:p w:rsidR="00E4064D" w:rsidRPr="00740C90" w:rsidRDefault="00E4064D" w:rsidP="00E4064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0C90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відсутність підстав для звернення до Вищої ради правосуддя стосовно притягнення судді до дисциплінарної відповідальності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40C90">
        <w:rPr>
          <w:rFonts w:ascii="Times New Roman" w:hAnsi="Times New Roman" w:cs="Times New Roman"/>
          <w:sz w:val="26"/>
          <w:szCs w:val="26"/>
          <w:lang w:val="uk-UA"/>
        </w:rPr>
        <w:t xml:space="preserve"> порядку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740C90"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передбаченому статтею 107 Закону України «Про судоустрій і статус суддів».</w:t>
      </w:r>
    </w:p>
    <w:p w:rsidR="00835456" w:rsidRPr="0082089A" w:rsidRDefault="00835456" w:rsidP="0082089A">
      <w:pPr>
        <w:rPr>
          <w:lang w:val="uk-UA"/>
        </w:rPr>
      </w:pPr>
      <w:bookmarkStart w:id="0" w:name="_GoBack"/>
      <w:bookmarkEnd w:id="0"/>
    </w:p>
    <w:sectPr w:rsidR="00835456" w:rsidRPr="0082089A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706439"/>
    <w:rsid w:val="0082089A"/>
    <w:rsid w:val="00835456"/>
    <w:rsid w:val="00926901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2024-05-07T09:58:00Z</dcterms:created>
  <dcterms:modified xsi:type="dcterms:W3CDTF">2024-06-06T09:56:00Z</dcterms:modified>
</cp:coreProperties>
</file>