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4797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24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AABDDB5" wp14:editId="7E6514E2">
            <wp:extent cx="543560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474ACA" w14:textId="77777777" w:rsidR="00863E98" w:rsidRPr="001F524B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10D068B" w14:textId="77777777" w:rsidR="00863E98" w:rsidRPr="001F524B" w:rsidRDefault="00863E98" w:rsidP="00863E9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F524B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0BC0D033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FFF5DC" w14:textId="5408218C" w:rsidR="00863E98" w:rsidRPr="00206ED0" w:rsidRDefault="00193ACF" w:rsidP="00863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sz w:val="24"/>
          <w:szCs w:val="24"/>
        </w:rPr>
        <w:t>26</w:t>
      </w:r>
      <w:r w:rsidR="00863E98" w:rsidRPr="00206ED0">
        <w:rPr>
          <w:rFonts w:ascii="Times New Roman" w:eastAsia="Times New Roman" w:hAnsi="Times New Roman" w:cs="Times New Roman"/>
          <w:sz w:val="24"/>
          <w:szCs w:val="24"/>
        </w:rPr>
        <w:t xml:space="preserve"> травня 2025 року </w:t>
      </w:r>
      <w:r w:rsidR="00863E98" w:rsidRPr="00206ED0">
        <w:rPr>
          <w:rFonts w:ascii="Times New Roman" w:eastAsia="Times New Roman" w:hAnsi="Times New Roman" w:cs="Times New Roman"/>
          <w:sz w:val="24"/>
          <w:szCs w:val="24"/>
        </w:rPr>
        <w:tab/>
      </w:r>
      <w:r w:rsidR="00863E98" w:rsidRPr="00206ED0">
        <w:rPr>
          <w:rFonts w:ascii="Times New Roman" w:eastAsia="Times New Roman" w:hAnsi="Times New Roman" w:cs="Times New Roman"/>
          <w:sz w:val="24"/>
          <w:szCs w:val="24"/>
        </w:rPr>
        <w:tab/>
      </w:r>
      <w:r w:rsidR="00863E98" w:rsidRPr="00206ED0">
        <w:rPr>
          <w:rFonts w:ascii="Times New Roman" w:eastAsia="Times New Roman" w:hAnsi="Times New Roman" w:cs="Times New Roman"/>
          <w:sz w:val="24"/>
          <w:szCs w:val="24"/>
        </w:rPr>
        <w:tab/>
      </w:r>
      <w:r w:rsidR="00863E98" w:rsidRPr="00206ED0">
        <w:rPr>
          <w:rFonts w:ascii="Times New Roman" w:eastAsia="Times New Roman" w:hAnsi="Times New Roman" w:cs="Times New Roman"/>
          <w:sz w:val="24"/>
          <w:szCs w:val="24"/>
        </w:rPr>
        <w:tab/>
      </w:r>
      <w:r w:rsidR="00863E98" w:rsidRPr="00206ED0">
        <w:rPr>
          <w:rFonts w:ascii="Times New Roman" w:eastAsia="Times New Roman" w:hAnsi="Times New Roman" w:cs="Times New Roman"/>
          <w:sz w:val="24"/>
          <w:szCs w:val="24"/>
        </w:rPr>
        <w:tab/>
      </w:r>
      <w:r w:rsidR="00863E98" w:rsidRPr="00206ED0">
        <w:rPr>
          <w:rFonts w:ascii="Times New Roman" w:eastAsia="Times New Roman" w:hAnsi="Times New Roman" w:cs="Times New Roman"/>
          <w:sz w:val="24"/>
          <w:szCs w:val="24"/>
        </w:rPr>
        <w:tab/>
      </w:r>
      <w:r w:rsidR="00863E98" w:rsidRPr="00206ED0">
        <w:rPr>
          <w:rFonts w:ascii="Times New Roman" w:eastAsia="Times New Roman" w:hAnsi="Times New Roman" w:cs="Times New Roman"/>
          <w:sz w:val="24"/>
          <w:szCs w:val="24"/>
        </w:rPr>
        <w:tab/>
      </w:r>
      <w:r w:rsidR="00863E98" w:rsidRPr="00206E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м. Київ</w:t>
      </w:r>
    </w:p>
    <w:p w14:paraId="3C88081C" w14:textId="77777777" w:rsidR="00863E98" w:rsidRPr="001F524B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9ABF882" w14:textId="30F50DF3" w:rsidR="00863E98" w:rsidRPr="007E563D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1F524B">
        <w:rPr>
          <w:rFonts w:ascii="Times New Roman" w:eastAsia="Times New Roman" w:hAnsi="Times New Roman" w:cs="Times New Roman"/>
          <w:sz w:val="27"/>
          <w:szCs w:val="27"/>
        </w:rPr>
        <w:t xml:space="preserve">Р І Ш Е Н </w:t>
      </w:r>
      <w:proofErr w:type="spellStart"/>
      <w:r w:rsidRPr="001F524B"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spellEnd"/>
      <w:r w:rsidRPr="001F524B">
        <w:rPr>
          <w:rFonts w:ascii="Times New Roman" w:eastAsia="Times New Roman" w:hAnsi="Times New Roman" w:cs="Times New Roman"/>
          <w:sz w:val="27"/>
          <w:szCs w:val="27"/>
        </w:rPr>
        <w:t xml:space="preserve"> Я </w:t>
      </w:r>
      <w:r w:rsidR="001F52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F524B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1F52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E563D">
        <w:rPr>
          <w:rFonts w:ascii="Times New Roman" w:eastAsia="Times New Roman" w:hAnsi="Times New Roman" w:cs="Times New Roman"/>
          <w:sz w:val="27"/>
          <w:szCs w:val="27"/>
          <w:u w:val="single"/>
        </w:rPr>
        <w:t>728/дс-25</w:t>
      </w:r>
    </w:p>
    <w:p w14:paraId="65696100" w14:textId="77777777" w:rsidR="00863E98" w:rsidRPr="001F524B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6BB2BAC" w14:textId="058B1923" w:rsidR="00863E98" w:rsidRPr="00206ED0" w:rsidRDefault="00863E98" w:rsidP="00206ED0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Вища кваліфікаційна комісія суддів України у складі колегії</w:t>
      </w:r>
      <w:r w:rsidR="00193ACF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№5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</w:t>
      </w:r>
    </w:p>
    <w:p w14:paraId="258723D4" w14:textId="77777777" w:rsidR="00863E98" w:rsidRPr="00206ED0" w:rsidRDefault="00863E98" w:rsidP="00206ED0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4C763449" w14:textId="44500132" w:rsidR="00863E98" w:rsidRPr="00206ED0" w:rsidRDefault="00863E98" w:rsidP="00206E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головуючого – </w:t>
      </w:r>
      <w:r w:rsidR="007B5FD2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Олексія ОМЕЛЬЯНА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</w:t>
      </w:r>
    </w:p>
    <w:p w14:paraId="6DC0BE2A" w14:textId="77777777" w:rsidR="00863E98" w:rsidRPr="00206ED0" w:rsidRDefault="00863E98" w:rsidP="00206ED0">
      <w:pPr>
        <w:shd w:val="clear" w:color="auto" w:fill="FFFFFF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164C55CF" w14:textId="7C8E4B7F" w:rsidR="00863E98" w:rsidRPr="00206ED0" w:rsidRDefault="00863E98" w:rsidP="00206ED0">
      <w:pPr>
        <w:shd w:val="clear" w:color="auto" w:fill="FFFFFF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членів Комісії: </w:t>
      </w:r>
      <w:r w:rsidR="007B5FD2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Ярослава ДУХА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7B5FD2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Володимир</w:t>
      </w:r>
      <w:r w:rsidR="00E93D63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</w:t>
      </w:r>
      <w:r w:rsidR="007B5FD2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ЛУГАНСЬКОГО</w:t>
      </w:r>
      <w:r w:rsidR="00193ACF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(доповідач)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</w:t>
      </w:r>
    </w:p>
    <w:p w14:paraId="0984A61E" w14:textId="77777777" w:rsidR="00863E98" w:rsidRPr="00206ED0" w:rsidRDefault="00863E98" w:rsidP="00206ED0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40E57E0D" w14:textId="37CF00FD" w:rsidR="00863E98" w:rsidRDefault="00863E98" w:rsidP="00206ED0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розглянувши питання допуску </w:t>
      </w:r>
      <w:proofErr w:type="spellStart"/>
      <w:r w:rsidR="00FA6F98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Яхна</w:t>
      </w:r>
      <w:proofErr w:type="spellEnd"/>
      <w:r w:rsidR="00FA6F98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Вадима Андрійовича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до участі в доборі на посаду судді місцевого суду, оголошеному рішенням Комісії від 11 грудня</w:t>
      </w:r>
      <w:r w:rsidR="00CE5BF2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2024 року №</w:t>
      </w:r>
      <w:r w:rsidR="00DC1A07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366/зп-24,</w:t>
      </w:r>
    </w:p>
    <w:p w14:paraId="1B65B511" w14:textId="77777777" w:rsidR="001F5D81" w:rsidRPr="00206ED0" w:rsidRDefault="001F5D81" w:rsidP="00206ED0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06E665A4" w14:textId="77777777" w:rsidR="00863E98" w:rsidRPr="00206ED0" w:rsidRDefault="00863E98" w:rsidP="00206ED0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встановила:</w:t>
      </w:r>
    </w:p>
    <w:p w14:paraId="4FD60730" w14:textId="77777777" w:rsidR="00E40239" w:rsidRPr="00206ED0" w:rsidRDefault="00E40239" w:rsidP="00206ED0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58F833C7" w14:textId="77777777" w:rsidR="00863E98" w:rsidRPr="00206ED0" w:rsidRDefault="00863E98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44E74CD5" w14:textId="0E655EC2" w:rsidR="00863E98" w:rsidRPr="00206ED0" w:rsidRDefault="00863E98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206ED0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787B64A9" w14:textId="77777777" w:rsidR="00863E98" w:rsidRPr="00206ED0" w:rsidRDefault="00863E98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0D1AD11" w14:textId="77777777" w:rsidR="00863E98" w:rsidRPr="00206ED0" w:rsidRDefault="00863E98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76E940CF" w14:textId="4424E943" w:rsidR="00863E98" w:rsidRPr="00206ED0" w:rsidRDefault="00863E98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Підпунктом 14.1 пункту 14 Оголошення про добір кандидатів на посаду судді місцевого суду,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затвердженого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рішенням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Комісії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від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11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грудня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2024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року</w:t>
      </w:r>
      <w:r w:rsidR="00CE5BF2" w:rsidRPr="007E563D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№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366/зп-24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(далі – Оголошення)</w:t>
      </w:r>
      <w:r w:rsidR="0060487F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6F01B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передбачено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6F01B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6F01B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Доборі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6F01B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Доборі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6D684B05" w14:textId="30C7FAEE" w:rsidR="00863E98" w:rsidRPr="00206ED0" w:rsidRDefault="00863E98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Згідно з підпунктом 14.2 пункту 14 Оголошення до участі </w:t>
      </w:r>
      <w:r w:rsidR="006F01B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Доборі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на посаду судді допускаються особи, які: у порядку та строки, визначені </w:t>
      </w:r>
      <w:r w:rsidR="006F01B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512E88A" w14:textId="3DC57ECC" w:rsidR="00E40239" w:rsidRPr="00206ED0" w:rsidRDefault="00E40239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Відповідно до статті 72 Закону особа, яка виявила намір стати суддею, для участі у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доборі на посаду судді подає до Вищої кваліфікаційної комісії суддів України,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частиною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диплома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молодшого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бакалавра,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бакалавра,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магістра,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доктора</w:t>
      </w:r>
      <w:r w:rsidRPr="007E563D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філософії</w:t>
      </w:r>
      <w:r w:rsidR="006F01B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/</w:t>
      </w:r>
      <w:r w:rsidR="006F01B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доктора мистецтва. Про подання диплома про вищу освіту з додатком зазначено </w:t>
      </w:r>
      <w:r w:rsidR="006F01B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пункті 13.7 Оголошення. </w:t>
      </w:r>
    </w:p>
    <w:p w14:paraId="516FDB5C" w14:textId="319D0826" w:rsidR="00E40239" w:rsidRPr="00206ED0" w:rsidRDefault="00E40239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Також на сторінці «Добір кандидатів на посаду судді місцевого суду, оголошений 11.12.2024» офіційного </w:t>
      </w:r>
      <w:proofErr w:type="spellStart"/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вебсайту</w:t>
      </w:r>
      <w:proofErr w:type="spellEnd"/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Комісії розміщено роз’яснення «Щодо диплома про вищу юридичну освіту», </w:t>
      </w:r>
      <w:r w:rsidR="00AD198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якому наголошено на необхідності подання диплом</w:t>
      </w:r>
      <w:r w:rsidR="0060487F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про вищу юридичну освіту разом із додатком.</w:t>
      </w:r>
    </w:p>
    <w:p w14:paraId="35C81076" w14:textId="12F62A12" w:rsidR="001F524B" w:rsidRPr="00206ED0" w:rsidRDefault="00863E98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До Комісії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18</w:t>
      </w:r>
      <w:r w:rsidR="00C66CB9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березня 2025 року надійшла заява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FA6F98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Яхна</w:t>
      </w:r>
      <w:proofErr w:type="spellEnd"/>
      <w:r w:rsidR="00FA6F98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В.А.</w:t>
      </w:r>
      <w:r w:rsidR="00FA6F98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66CB9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про участь у Доборі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14:paraId="54BF8BC2" w14:textId="6CD9B28D" w:rsidR="00F04A79" w:rsidRDefault="00F04A79" w:rsidP="0099254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Дослідивши подані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ним</w:t>
      </w:r>
      <w:r w:rsidR="00E40239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документи</w:t>
      </w:r>
      <w:r w:rsidR="0060487F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встановлено, що </w:t>
      </w:r>
      <w:proofErr w:type="spellStart"/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Яхно</w:t>
      </w:r>
      <w:proofErr w:type="spellEnd"/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В.А.</w:t>
      </w:r>
      <w:r w:rsid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1F5D81" w:rsidRP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 підтвердження вищої юридичної освіти</w:t>
      </w:r>
      <w:r w:rsid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надав копію </w:t>
      </w:r>
      <w:r w:rsidR="001F5D81" w:rsidRP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диплома магістра, виданого йому Національним університетом «Юридична академія імені Ярослава Мудрого» 10 травня 2012 року</w:t>
      </w:r>
      <w:r w:rsid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AD198E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</w:t>
      </w:r>
      <w:r w:rsidR="001F5D81" w:rsidRP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ері</w:t>
      </w:r>
      <w:r w:rsid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я</w:t>
      </w:r>
      <w:r w:rsidR="001F5D81" w:rsidRP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ХА №</w:t>
      </w:r>
      <w:r w:rsidR="001F5D81"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="001F5D81" w:rsidRP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43129933</w:t>
      </w:r>
      <w:r w:rsid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</w:t>
      </w:r>
      <w:r w:rsidR="001F5D81"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однак</w:t>
      </w:r>
      <w:r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всупереч</w:t>
      </w:r>
      <w:r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вимогам</w:t>
      </w:r>
      <w:r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пункту</w:t>
      </w:r>
      <w:r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6</w:t>
      </w:r>
      <w:r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частини</w:t>
      </w:r>
      <w:r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першої</w:t>
      </w:r>
      <w:r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статті</w:t>
      </w:r>
      <w:r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72</w:t>
      </w:r>
      <w:r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Закону</w:t>
      </w:r>
      <w:r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</w:t>
      </w:r>
      <w:r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пода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</w:t>
      </w:r>
      <w:r w:rsidR="00BE7209" w:rsidRPr="007E563D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копі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ї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додатка до </w:t>
      </w:r>
      <w:r w:rsid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вказаного диплом</w:t>
      </w:r>
      <w:r w:rsidR="00AD198E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</w:t>
      </w:r>
      <w:r w:rsidR="001F5D8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що є обов’язковим.</w:t>
      </w:r>
    </w:p>
    <w:p w14:paraId="788596C9" w14:textId="1748F640" w:rsidR="00FA6F98" w:rsidRPr="00206ED0" w:rsidRDefault="00AD198E" w:rsidP="0099254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</w:t>
      </w:r>
      <w:r w:rsidR="00FA6F98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 електронну адресу Комісії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22 травня 2025 року</w:t>
      </w:r>
      <w:r w:rsidR="00FA6F98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A6F98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Яхно</w:t>
      </w:r>
      <w:proofErr w:type="spellEnd"/>
      <w:r w:rsidR="00FA6F98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В.А. надіслав заяву,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</w:t>
      </w:r>
      <w:r w:rsidR="00FA6F98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як</w:t>
      </w:r>
      <w:r w:rsid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ій зазначив, що надати Комісії </w:t>
      </w:r>
      <w:r w:rsidR="00FA6F98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додаток до диплом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</w:t>
      </w:r>
      <w:r w:rsidR="00FA6F98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магістра, виданого Національним університетом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52"/>
          <w:szCs w:val="52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«Юридична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52"/>
          <w:szCs w:val="52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академія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52"/>
          <w:szCs w:val="52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імені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52"/>
          <w:szCs w:val="52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Ярослава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52"/>
          <w:szCs w:val="52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Мудрого»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52"/>
          <w:szCs w:val="52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10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52"/>
          <w:szCs w:val="52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травня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52"/>
          <w:szCs w:val="52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2012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52"/>
          <w:szCs w:val="52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року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52"/>
          <w:szCs w:val="52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серії ХА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№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43129933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неможливо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зв’язку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з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FA6F98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тим,</w:t>
      </w:r>
      <w:r w:rsidR="00FA6F98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що</w:t>
      </w:r>
      <w:r w:rsidR="00EC7FF4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цей</w:t>
      </w:r>
      <w:r w:rsidR="00EC7FF4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документ</w:t>
      </w:r>
      <w:r w:rsidR="00EC7FF4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залишився</w:t>
      </w:r>
      <w:r w:rsidR="00EC7FF4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="00EC7FF4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2022</w:t>
      </w:r>
      <w:r w:rsidR="00EC7FF4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році</w:t>
      </w:r>
      <w:r w:rsidR="00EC7FF4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за</w:t>
      </w:r>
      <w:r w:rsidR="00EC7FF4" w:rsidRPr="007E56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місцем його фактичного проживання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місті, яке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наразі тимчасово окуповане. Д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одаток до диплом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</w:t>
      </w:r>
      <w:r w:rsidR="00EC7FF4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відновити не вдалося.</w:t>
      </w:r>
    </w:p>
    <w:p w14:paraId="6C63DA13" w14:textId="77777777" w:rsidR="001F5D81" w:rsidRPr="001F5D81" w:rsidRDefault="001F5D81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Відповідно до частини четвертої статті 72 Закону 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розглядаються.</w:t>
      </w:r>
    </w:p>
    <w:p w14:paraId="4DB1F766" w14:textId="095005B2" w:rsidR="001F5D81" w:rsidRPr="001F5D81" w:rsidRDefault="001F5D81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Рішенням Комісії від 11 грудня 2024 року № 366/зп-24 визначено строк подання документів для участі </w:t>
      </w:r>
      <w:r w:rsidR="00AD198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Доборі</w:t>
      </w:r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– з 01 березня 2025 року до 30 березня 2025 року (включно). </w:t>
      </w:r>
    </w:p>
    <w:p w14:paraId="3F6CDE7E" w14:textId="77777777" w:rsidR="001F5D81" w:rsidRPr="001F5D81" w:rsidRDefault="001F5D81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Згідно з підпунктом 14.2 пункту 14 Оголошення до участі в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4B9DD9BA" w14:textId="737C1CCF" w:rsidR="00D63320" w:rsidRPr="00206ED0" w:rsidRDefault="001C0C39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</w:t>
      </w:r>
      <w:r w:rsidR="00D63320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а сторінці «Добір кандидатів на посаду судді місцевого суду, оголошений 11.12.2024» офіційного </w:t>
      </w:r>
      <w:proofErr w:type="spellStart"/>
      <w:r w:rsidR="00D63320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вебсайту</w:t>
      </w:r>
      <w:proofErr w:type="spellEnd"/>
      <w:r w:rsidR="00D63320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Комісії розміщено роз’яснення «Щодо диплома про вищу юридичну освіту», в якому наголошено на необхідності подання диплома про вищу юридичну освіту разом із додатком.</w:t>
      </w:r>
    </w:p>
    <w:p w14:paraId="437DAA06" w14:textId="4BA6F0C0" w:rsidR="001F5D81" w:rsidRPr="001F5D81" w:rsidRDefault="00AD198E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</w:t>
      </w:r>
      <w:r w:rsidR="001F5D81"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омісія звертає увагу, що процедур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</w:t>
      </w:r>
      <w:r w:rsidR="001F5D81"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отримання дублікатів документів про вищу освіту врегульован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</w:t>
      </w:r>
      <w:r w:rsidR="001F5D81"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Порядком замовлення, виготовлення, видачі, обліку документів про вищу освіту та додатків до дипломів європейського зразка, затвердженим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</w:t>
      </w:r>
      <w:r w:rsidR="001F5D81"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аказом Міністерства освіти і науки України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від 06 березня 2015 року № 249</w:t>
      </w:r>
      <w:r w:rsidR="001F5D81"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(у редакції наказу Міністерства освіти і науки України від  02 листопада 2020 року </w:t>
      </w:r>
      <w:r w:rsidR="001F5D81" w:rsidRPr="007E563D">
        <w:rPr>
          <w:rFonts w:ascii="Times New Roman" w:eastAsia="Times New Roman" w:hAnsi="Times New Roman" w:cs="Times New Roman"/>
          <w:sz w:val="24"/>
          <w:szCs w:val="24"/>
        </w:rPr>
        <w:t>№ 1351</w:t>
      </w:r>
      <w:r w:rsidR="001F5D81"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). </w:t>
      </w:r>
    </w:p>
    <w:p w14:paraId="46F07F79" w14:textId="6024F5B8" w:rsidR="001F5D81" w:rsidRDefault="001F5D81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</w:t>
      </w:r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а офіційному </w:t>
      </w:r>
      <w:proofErr w:type="spellStart"/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вебсайті</w:t>
      </w:r>
      <w:proofErr w:type="spellEnd"/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Міністерства освіти і науки України містяться роз’яснення </w:t>
      </w:r>
      <w:r w:rsidR="00AD198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щодо</w:t>
      </w:r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отрима</w:t>
      </w:r>
      <w:r w:rsidR="00AD198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ння</w:t>
      </w:r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дублікат</w:t>
      </w:r>
      <w:r w:rsidR="00AD198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</w:t>
      </w:r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документа про вищу освіту.</w:t>
      </w:r>
    </w:p>
    <w:p w14:paraId="44B29F1C" w14:textId="5AB0D7C7" w:rsidR="001F5D81" w:rsidRPr="001F5D81" w:rsidRDefault="001F5D81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З огляду на викладене Комісія не враховує пояснення, викладені </w:t>
      </w:r>
      <w:r w:rsidR="00AD198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</w:t>
      </w:r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заяві </w:t>
      </w:r>
      <w:proofErr w:type="spellStart"/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Яхна</w:t>
      </w:r>
      <w:proofErr w:type="spellEnd"/>
      <w:r w:rsidRPr="001F5D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В.А.  </w:t>
      </w:r>
    </w:p>
    <w:p w14:paraId="53617248" w14:textId="77777777" w:rsidR="00F04A79" w:rsidRPr="00206ED0" w:rsidRDefault="00F04A79" w:rsidP="00992549">
      <w:pPr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C6A2812" w14:textId="191788B3" w:rsidR="00F04A79" w:rsidRPr="00206ED0" w:rsidRDefault="00F04A79" w:rsidP="00992549">
      <w:pPr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Підпунктом 60.1 пункту 60 параграфа 7 Регламенту Вищої кваліфікаційної комісії </w:t>
      </w:r>
      <w:bookmarkStart w:id="0" w:name="_GoBack"/>
      <w:bookmarkEnd w:id="0"/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суддів України, затвердженого рішенням Комісії від 13 жовтня 2016 року № 81/зп-16 (в</w:t>
      </w:r>
      <w:r w:rsidR="007E56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6F90144D" w14:textId="74372754" w:rsidR="00863E98" w:rsidRPr="001F5D81" w:rsidRDefault="001F5D81" w:rsidP="0099254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F5D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Урахувавши викладене, Комісія дійшла висновку, що неподання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Яхном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В.А.</w:t>
      </w:r>
      <w:r w:rsidRPr="007E56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</w:t>
      </w:r>
      <w:r w:rsidRPr="001F5D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сіх документів, визначених частиною першою статті 72 Закону, є підставою для відмови у допуску до участі в Доборі.</w:t>
      </w:r>
    </w:p>
    <w:p w14:paraId="0567BF0B" w14:textId="36E3F433" w:rsidR="00863E98" w:rsidRPr="00206ED0" w:rsidRDefault="00863E98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</w:t>
      </w:r>
      <w:r w:rsidRPr="007E563D">
        <w:rPr>
          <w:rFonts w:ascii="Times New Roman" w:hAnsi="Times New Roman" w:cs="Times New Roman"/>
          <w:color w:val="0D0D0D" w:themeColor="text1" w:themeTint="F2"/>
          <w:sz w:val="96"/>
          <w:szCs w:val="96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чи</w:t>
      </w:r>
      <w:r w:rsidRPr="007E563D">
        <w:rPr>
          <w:rFonts w:ascii="Times New Roman" w:hAnsi="Times New Roman" w:cs="Times New Roman"/>
          <w:color w:val="0D0D0D" w:themeColor="text1" w:themeTint="F2"/>
          <w:sz w:val="96"/>
          <w:szCs w:val="96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колегією,</w:t>
      </w:r>
      <w:r w:rsidRPr="007E563D">
        <w:rPr>
          <w:rFonts w:ascii="Times New Roman" w:hAnsi="Times New Roman" w:cs="Times New Roman"/>
          <w:color w:val="0D0D0D" w:themeColor="text1" w:themeTint="F2"/>
          <w:sz w:val="96"/>
          <w:szCs w:val="96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щодо</w:t>
      </w:r>
      <w:r w:rsidRPr="007E563D">
        <w:rPr>
          <w:rFonts w:ascii="Times New Roman" w:hAnsi="Times New Roman" w:cs="Times New Roman"/>
          <w:color w:val="0D0D0D" w:themeColor="text1" w:themeTint="F2"/>
          <w:sz w:val="96"/>
          <w:szCs w:val="96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допуску</w:t>
      </w:r>
      <w:r w:rsidRPr="007E563D">
        <w:rPr>
          <w:rFonts w:ascii="Times New Roman" w:hAnsi="Times New Roman" w:cs="Times New Roman"/>
          <w:color w:val="0D0D0D" w:themeColor="text1" w:themeTint="F2"/>
          <w:sz w:val="96"/>
          <w:szCs w:val="96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</w:t>
      </w:r>
      <w:r w:rsidRPr="007E563D">
        <w:rPr>
          <w:rFonts w:ascii="Times New Roman" w:hAnsi="Times New Roman" w:cs="Times New Roman"/>
          <w:color w:val="0D0D0D" w:themeColor="text1" w:themeTint="F2"/>
          <w:sz w:val="96"/>
          <w:szCs w:val="96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конкурсу</w:t>
      </w:r>
      <w:r w:rsidRPr="007E563D">
        <w:rPr>
          <w:rFonts w:ascii="Times New Roman" w:hAnsi="Times New Roman" w:cs="Times New Roman"/>
          <w:color w:val="0D0D0D" w:themeColor="text1" w:themeTint="F2"/>
          <w:sz w:val="96"/>
          <w:szCs w:val="96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або</w:t>
      </w:r>
      <w:r w:rsidRPr="007E563D">
        <w:rPr>
          <w:rFonts w:ascii="Times New Roman" w:hAnsi="Times New Roman" w:cs="Times New Roman"/>
          <w:color w:val="0D0D0D" w:themeColor="text1" w:themeTint="F2"/>
          <w:sz w:val="96"/>
          <w:szCs w:val="96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добору</w:t>
      </w:r>
      <w:r w:rsidR="00FA6017" w:rsidRPr="007E563D">
        <w:rPr>
          <w:rFonts w:ascii="Times New Roman" w:hAnsi="Times New Roman" w:cs="Times New Roman"/>
          <w:color w:val="0D0D0D" w:themeColor="text1" w:themeTint="F2"/>
          <w:sz w:val="96"/>
          <w:szCs w:val="96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(частина</w:t>
      </w:r>
      <w:r w:rsidRPr="007E563D">
        <w:rPr>
          <w:rFonts w:ascii="Times New Roman" w:hAnsi="Times New Roman" w:cs="Times New Roman"/>
          <w:color w:val="0D0D0D" w:themeColor="text1" w:themeTint="F2"/>
          <w:sz w:val="96"/>
          <w:szCs w:val="96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четверта</w:t>
      </w:r>
      <w:r w:rsidRPr="007E563D">
        <w:rPr>
          <w:rFonts w:ascii="Times New Roman" w:hAnsi="Times New Roman" w:cs="Times New Roman"/>
          <w:color w:val="0D0D0D" w:themeColor="text1" w:themeTint="F2"/>
          <w:sz w:val="96"/>
          <w:szCs w:val="96"/>
          <w:shd w:val="clear" w:color="auto" w:fill="FFFFFF"/>
        </w:rPr>
        <w:t xml:space="preserve"> </w:t>
      </w: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статті 101 Закону).</w:t>
      </w:r>
    </w:p>
    <w:p w14:paraId="7818C037" w14:textId="09AC25EA" w:rsidR="00863E98" w:rsidRPr="00206ED0" w:rsidRDefault="00863E98" w:rsidP="0099254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AD198E" w:rsidRPr="00AD198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Вища кваліфікаційна комісія суддів України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одноголосно</w:t>
      </w:r>
    </w:p>
    <w:p w14:paraId="6892F929" w14:textId="77777777" w:rsidR="00863E98" w:rsidRPr="00206ED0" w:rsidRDefault="00863E98" w:rsidP="00206E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696D8B69" w14:textId="77777777" w:rsidR="00863E98" w:rsidRPr="00206ED0" w:rsidRDefault="00863E98" w:rsidP="00206ED0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вирішила:</w:t>
      </w:r>
    </w:p>
    <w:p w14:paraId="2A8A1C1A" w14:textId="77777777" w:rsidR="00863E98" w:rsidRPr="00206ED0" w:rsidRDefault="00863E98" w:rsidP="00206E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0F64ECF0" w14:textId="51C2F330" w:rsidR="00863E98" w:rsidRPr="00206ED0" w:rsidRDefault="00863E98" w:rsidP="00206ED0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відмовити </w:t>
      </w:r>
      <w:proofErr w:type="spellStart"/>
      <w:r w:rsidR="00D63320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Яхн</w:t>
      </w:r>
      <w:r w:rsidR="001C0C3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proofErr w:type="spellEnd"/>
      <w:r w:rsidR="00D63320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Вадим</w:t>
      </w:r>
      <w:r w:rsidR="001C0C3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="00D63320" w:rsidRPr="00206ED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Андрійович</w:t>
      </w:r>
      <w:r w:rsidR="001C0C3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у</w:t>
      </w:r>
      <w:r w:rsidR="00D63320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60487F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0227D4"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06ED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№ 366/зп-24.</w:t>
      </w:r>
    </w:p>
    <w:p w14:paraId="68B4893B" w14:textId="710180AF" w:rsidR="001F524B" w:rsidRPr="00206ED0" w:rsidRDefault="001F524B" w:rsidP="00206ED0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604A47C8" w14:textId="425C7335" w:rsidR="000227D4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  <w:t xml:space="preserve">   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Олексій ОМЕЛЬЯН</w:t>
      </w:r>
    </w:p>
    <w:p w14:paraId="6FBC96D0" w14:textId="77777777" w:rsidR="001F5D81" w:rsidRDefault="001F5D81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0FC654F0" w14:textId="46B52F30" w:rsidR="001F524B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43D5466A" w14:textId="730BD666" w:rsidR="007B5FD2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Ярослав ДУХ</w:t>
      </w:r>
    </w:p>
    <w:p w14:paraId="282D0ADB" w14:textId="77777777" w:rsidR="001F5D81" w:rsidRDefault="001F5D81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54819D1A" w14:textId="0B74C2D1" w:rsidR="001F524B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288ED5C6" w14:textId="6719875A" w:rsidR="00887E75" w:rsidRPr="001F524B" w:rsidRDefault="001F524B" w:rsidP="001F5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 xml:space="preserve">Володимир ЛУГАНСЬКИЙ </w:t>
      </w:r>
    </w:p>
    <w:sectPr w:rsidR="00887E75" w:rsidRPr="001F524B" w:rsidSect="007B5FD2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77077" w14:textId="77777777" w:rsidR="008C3BDA" w:rsidRDefault="008C3BDA">
      <w:pPr>
        <w:spacing w:after="0" w:line="240" w:lineRule="auto"/>
      </w:pPr>
      <w:r>
        <w:separator/>
      </w:r>
    </w:p>
  </w:endnote>
  <w:endnote w:type="continuationSeparator" w:id="0">
    <w:p w14:paraId="42E0D467" w14:textId="77777777" w:rsidR="008C3BDA" w:rsidRDefault="008C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E842D" w14:textId="77777777" w:rsidR="008C3BDA" w:rsidRDefault="008C3BDA">
      <w:pPr>
        <w:spacing w:after="0" w:line="240" w:lineRule="auto"/>
      </w:pPr>
      <w:r>
        <w:separator/>
      </w:r>
    </w:p>
  </w:footnote>
  <w:footnote w:type="continuationSeparator" w:id="0">
    <w:p w14:paraId="631F0FD9" w14:textId="77777777" w:rsidR="008C3BDA" w:rsidRDefault="008C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4DEE5" w14:textId="609E4E23" w:rsidR="00FD1F50" w:rsidRDefault="008B2D1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0631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BB"/>
    <w:rsid w:val="000040B5"/>
    <w:rsid w:val="000227D4"/>
    <w:rsid w:val="000347AF"/>
    <w:rsid w:val="00083D62"/>
    <w:rsid w:val="0018437A"/>
    <w:rsid w:val="001869E4"/>
    <w:rsid w:val="00193ACF"/>
    <w:rsid w:val="001C0C39"/>
    <w:rsid w:val="001C2B2D"/>
    <w:rsid w:val="001F524B"/>
    <w:rsid w:val="001F5D81"/>
    <w:rsid w:val="001F724D"/>
    <w:rsid w:val="00206ED0"/>
    <w:rsid w:val="00266EB9"/>
    <w:rsid w:val="00285B17"/>
    <w:rsid w:val="00294571"/>
    <w:rsid w:val="00322A3A"/>
    <w:rsid w:val="00384562"/>
    <w:rsid w:val="00537DD8"/>
    <w:rsid w:val="005F6BBB"/>
    <w:rsid w:val="0060487F"/>
    <w:rsid w:val="006445FA"/>
    <w:rsid w:val="006D0631"/>
    <w:rsid w:val="006F01B2"/>
    <w:rsid w:val="007B5FD2"/>
    <w:rsid w:val="007C28F1"/>
    <w:rsid w:val="007E563D"/>
    <w:rsid w:val="0083348B"/>
    <w:rsid w:val="00863E98"/>
    <w:rsid w:val="008B2D1E"/>
    <w:rsid w:val="008C3BDA"/>
    <w:rsid w:val="008E5A7F"/>
    <w:rsid w:val="00992549"/>
    <w:rsid w:val="009C29CA"/>
    <w:rsid w:val="009F213A"/>
    <w:rsid w:val="00A25A68"/>
    <w:rsid w:val="00AD198E"/>
    <w:rsid w:val="00B41F52"/>
    <w:rsid w:val="00BE37C9"/>
    <w:rsid w:val="00BE7209"/>
    <w:rsid w:val="00C565B0"/>
    <w:rsid w:val="00C66CB9"/>
    <w:rsid w:val="00CB6DA6"/>
    <w:rsid w:val="00CE5BF2"/>
    <w:rsid w:val="00D1025F"/>
    <w:rsid w:val="00D315D2"/>
    <w:rsid w:val="00D63320"/>
    <w:rsid w:val="00D93347"/>
    <w:rsid w:val="00DC1A07"/>
    <w:rsid w:val="00DD33DA"/>
    <w:rsid w:val="00DF3AE1"/>
    <w:rsid w:val="00E40239"/>
    <w:rsid w:val="00E53E27"/>
    <w:rsid w:val="00E93D63"/>
    <w:rsid w:val="00EC7ED1"/>
    <w:rsid w:val="00EC7FF4"/>
    <w:rsid w:val="00F04A79"/>
    <w:rsid w:val="00F36E53"/>
    <w:rsid w:val="00F666BC"/>
    <w:rsid w:val="00F77FAE"/>
    <w:rsid w:val="00FA6017"/>
    <w:rsid w:val="00FA6F98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8707"/>
  <w15:docId w15:val="{7A49BDDC-F9B5-408B-81C3-97B61F99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E9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863E98"/>
    <w:rPr>
      <w:color w:val="0000FF"/>
      <w:u w:val="single"/>
    </w:rPr>
  </w:style>
  <w:style w:type="character" w:styleId="a4">
    <w:name w:val="Strong"/>
    <w:basedOn w:val="a0"/>
    <w:uiPriority w:val="22"/>
    <w:qFormat/>
    <w:rsid w:val="00863E98"/>
    <w:rPr>
      <w:b/>
      <w:bCs/>
    </w:rPr>
  </w:style>
  <w:style w:type="paragraph" w:customStyle="1" w:styleId="rtejustify">
    <w:name w:val="rtejustify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3E98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445FA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445F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4744</Words>
  <Characters>2705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2025-05-19T07:41:00Z</cp:lastPrinted>
  <dcterms:created xsi:type="dcterms:W3CDTF">2025-06-16T06:10:00Z</dcterms:created>
  <dcterms:modified xsi:type="dcterms:W3CDTF">2025-06-16T06:10:00Z</dcterms:modified>
</cp:coreProperties>
</file>