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C3DB6" w14:textId="77777777"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14:anchorId="55F15CD5" wp14:editId="27833F75">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6EE82D01" w14:textId="77777777" w:rsidR="00973856" w:rsidRDefault="00973856">
      <w:pPr>
        <w:pBdr>
          <w:top w:val="nil"/>
          <w:left w:val="nil"/>
          <w:bottom w:val="nil"/>
          <w:right w:val="nil"/>
          <w:between w:val="nil"/>
        </w:pBdr>
        <w:spacing w:line="240" w:lineRule="auto"/>
        <w:ind w:left="1" w:hanging="3"/>
        <w:rPr>
          <w:color w:val="000000"/>
          <w:sz w:val="28"/>
          <w:szCs w:val="28"/>
        </w:rPr>
      </w:pPr>
    </w:p>
    <w:p w14:paraId="5C1380EA" w14:textId="77777777"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14:paraId="73456D18" w14:textId="77777777" w:rsidR="00973856" w:rsidRPr="00C22B51" w:rsidRDefault="00973856" w:rsidP="00C22B51">
      <w:pPr>
        <w:pBdr>
          <w:top w:val="nil"/>
          <w:left w:val="nil"/>
          <w:bottom w:val="nil"/>
          <w:right w:val="nil"/>
          <w:between w:val="nil"/>
        </w:pBdr>
        <w:spacing w:line="240" w:lineRule="auto"/>
        <w:ind w:left="1" w:right="57" w:hanging="3"/>
        <w:jc w:val="center"/>
        <w:rPr>
          <w:sz w:val="26"/>
          <w:szCs w:val="26"/>
        </w:rPr>
      </w:pPr>
    </w:p>
    <w:p w14:paraId="497714A0" w14:textId="77777777" w:rsidR="00973856" w:rsidRPr="00C22B51" w:rsidRDefault="008F580C" w:rsidP="00C22B51">
      <w:pPr>
        <w:pBdr>
          <w:top w:val="nil"/>
          <w:left w:val="nil"/>
          <w:bottom w:val="nil"/>
          <w:right w:val="nil"/>
          <w:between w:val="nil"/>
        </w:pBdr>
        <w:shd w:val="clear" w:color="auto" w:fill="FFFFFF"/>
        <w:spacing w:line="240" w:lineRule="auto"/>
        <w:ind w:left="1" w:hanging="3"/>
        <w:jc w:val="both"/>
        <w:rPr>
          <w:sz w:val="26"/>
          <w:szCs w:val="26"/>
        </w:rPr>
      </w:pPr>
      <w:r>
        <w:rPr>
          <w:sz w:val="26"/>
          <w:szCs w:val="26"/>
        </w:rPr>
        <w:t>09</w:t>
      </w:r>
      <w:r w:rsidR="007C4E9C" w:rsidRPr="00C22B51">
        <w:rPr>
          <w:sz w:val="26"/>
          <w:szCs w:val="26"/>
        </w:rPr>
        <w:t xml:space="preserve"> </w:t>
      </w:r>
      <w:r w:rsidR="00934417" w:rsidRPr="00C22B51">
        <w:rPr>
          <w:sz w:val="26"/>
          <w:szCs w:val="26"/>
        </w:rPr>
        <w:t>травня</w:t>
      </w:r>
      <w:r w:rsidR="007C4E9C" w:rsidRPr="00C22B51">
        <w:rPr>
          <w:sz w:val="26"/>
          <w:szCs w:val="26"/>
        </w:rPr>
        <w:t xml:space="preserve"> 202</w:t>
      </w:r>
      <w:r w:rsidR="00BA611B" w:rsidRPr="00C22B51">
        <w:rPr>
          <w:sz w:val="26"/>
          <w:szCs w:val="26"/>
        </w:rPr>
        <w:t>5</w:t>
      </w:r>
      <w:r w:rsidR="007C4E9C" w:rsidRPr="00C22B51">
        <w:rPr>
          <w:sz w:val="26"/>
          <w:szCs w:val="26"/>
        </w:rPr>
        <w:t xml:space="preserve"> року</w:t>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t xml:space="preserve"> </w:t>
      </w:r>
      <w:r w:rsidR="007C4E9C" w:rsidRPr="00C22B51">
        <w:rPr>
          <w:sz w:val="26"/>
          <w:szCs w:val="26"/>
        </w:rPr>
        <w:tab/>
        <w:t xml:space="preserve">   м. Київ</w:t>
      </w:r>
    </w:p>
    <w:p w14:paraId="785F0EF8" w14:textId="77777777" w:rsidR="00973856" w:rsidRPr="00C22B51" w:rsidRDefault="00973856" w:rsidP="00C22B51">
      <w:pPr>
        <w:pBdr>
          <w:top w:val="nil"/>
          <w:left w:val="nil"/>
          <w:bottom w:val="nil"/>
          <w:right w:val="nil"/>
          <w:between w:val="nil"/>
        </w:pBdr>
        <w:shd w:val="clear" w:color="auto" w:fill="FFFFFF"/>
        <w:spacing w:line="240" w:lineRule="auto"/>
        <w:ind w:left="1" w:hanging="3"/>
        <w:jc w:val="both"/>
        <w:rPr>
          <w:sz w:val="26"/>
          <w:szCs w:val="26"/>
        </w:rPr>
      </w:pPr>
    </w:p>
    <w:p w14:paraId="71CE3FEB" w14:textId="7944E1E6" w:rsidR="00973856" w:rsidRPr="00CA3CE9" w:rsidRDefault="007C4E9C" w:rsidP="00C22B51">
      <w:pPr>
        <w:pBdr>
          <w:top w:val="nil"/>
          <w:left w:val="nil"/>
          <w:bottom w:val="nil"/>
          <w:right w:val="nil"/>
          <w:between w:val="nil"/>
        </w:pBdr>
        <w:shd w:val="clear" w:color="auto" w:fill="FFFFFF"/>
        <w:spacing w:line="240" w:lineRule="auto"/>
        <w:ind w:left="1" w:right="134" w:hanging="3"/>
        <w:jc w:val="center"/>
        <w:rPr>
          <w:sz w:val="26"/>
          <w:szCs w:val="26"/>
          <w:u w:val="single"/>
        </w:rPr>
      </w:pPr>
      <w:r w:rsidRPr="00C22B51">
        <w:rPr>
          <w:sz w:val="26"/>
          <w:szCs w:val="26"/>
        </w:rPr>
        <w:t xml:space="preserve">Р І Ш Е Н </w:t>
      </w:r>
      <w:proofErr w:type="spellStart"/>
      <w:r w:rsidRPr="00C22B51">
        <w:rPr>
          <w:sz w:val="26"/>
          <w:szCs w:val="26"/>
        </w:rPr>
        <w:t>Н</w:t>
      </w:r>
      <w:proofErr w:type="spellEnd"/>
      <w:r w:rsidRPr="00C22B51">
        <w:rPr>
          <w:sz w:val="26"/>
          <w:szCs w:val="26"/>
        </w:rPr>
        <w:t xml:space="preserve"> Я  № </w:t>
      </w:r>
      <w:r w:rsidR="00CA3CE9">
        <w:rPr>
          <w:sz w:val="26"/>
          <w:szCs w:val="26"/>
          <w:u w:val="single"/>
        </w:rPr>
        <w:t>487/дс-25</w:t>
      </w:r>
    </w:p>
    <w:p w14:paraId="10771615" w14:textId="77777777" w:rsidR="00973856" w:rsidRPr="00C22B51" w:rsidRDefault="00973856"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14:paraId="4396D2E9" w14:textId="77777777" w:rsidR="00A36C1D" w:rsidRPr="00A36C1D" w:rsidRDefault="00A36C1D" w:rsidP="00A36C1D">
      <w:pPr>
        <w:pBdr>
          <w:top w:val="nil"/>
          <w:left w:val="nil"/>
          <w:bottom w:val="nil"/>
          <w:right w:val="nil"/>
          <w:between w:val="nil"/>
        </w:pBdr>
        <w:shd w:val="clear" w:color="auto" w:fill="FFFFFF"/>
        <w:spacing w:line="240" w:lineRule="auto"/>
        <w:ind w:left="1" w:right="134" w:hanging="3"/>
        <w:jc w:val="both"/>
        <w:rPr>
          <w:sz w:val="26"/>
          <w:szCs w:val="26"/>
        </w:rPr>
      </w:pPr>
      <w:r w:rsidRPr="00A36C1D">
        <w:rPr>
          <w:sz w:val="26"/>
          <w:szCs w:val="26"/>
        </w:rPr>
        <w:t>Вища кваліфікаційна комісія суддів України у складі колегії:</w:t>
      </w:r>
    </w:p>
    <w:p w14:paraId="0C25FFBA" w14:textId="77777777" w:rsidR="00A36C1D" w:rsidRPr="00A36C1D" w:rsidRDefault="00A36C1D" w:rsidP="00A36C1D">
      <w:pPr>
        <w:pBdr>
          <w:top w:val="nil"/>
          <w:left w:val="nil"/>
          <w:bottom w:val="nil"/>
          <w:right w:val="nil"/>
          <w:between w:val="nil"/>
        </w:pBdr>
        <w:shd w:val="clear" w:color="auto" w:fill="FFFFFF"/>
        <w:spacing w:line="240" w:lineRule="auto"/>
        <w:ind w:left="1" w:right="134" w:hanging="3"/>
        <w:jc w:val="both"/>
        <w:rPr>
          <w:sz w:val="26"/>
          <w:szCs w:val="26"/>
        </w:rPr>
      </w:pPr>
    </w:p>
    <w:p w14:paraId="28D03633" w14:textId="77777777" w:rsidR="00A36C1D" w:rsidRPr="00A36C1D" w:rsidRDefault="00A36C1D" w:rsidP="00A36C1D">
      <w:pPr>
        <w:pBdr>
          <w:top w:val="nil"/>
          <w:left w:val="nil"/>
          <w:bottom w:val="nil"/>
          <w:right w:val="nil"/>
          <w:between w:val="nil"/>
        </w:pBdr>
        <w:shd w:val="clear" w:color="auto" w:fill="FFFFFF"/>
        <w:spacing w:line="240" w:lineRule="auto"/>
        <w:ind w:left="1" w:right="134" w:hanging="3"/>
        <w:jc w:val="both"/>
        <w:rPr>
          <w:sz w:val="26"/>
          <w:szCs w:val="26"/>
        </w:rPr>
      </w:pPr>
      <w:r w:rsidRPr="00A36C1D">
        <w:rPr>
          <w:sz w:val="26"/>
          <w:szCs w:val="26"/>
        </w:rPr>
        <w:t>головуючого – Сергія ЧУМАКА,</w:t>
      </w:r>
    </w:p>
    <w:p w14:paraId="56BBFBC6" w14:textId="77777777" w:rsidR="00A36C1D" w:rsidRPr="00A36C1D" w:rsidRDefault="00A36C1D" w:rsidP="00A36C1D">
      <w:pPr>
        <w:pBdr>
          <w:top w:val="nil"/>
          <w:left w:val="nil"/>
          <w:bottom w:val="nil"/>
          <w:right w:val="nil"/>
          <w:between w:val="nil"/>
        </w:pBdr>
        <w:shd w:val="clear" w:color="auto" w:fill="FFFFFF"/>
        <w:spacing w:line="240" w:lineRule="auto"/>
        <w:ind w:left="1" w:right="134" w:hanging="3"/>
        <w:jc w:val="both"/>
        <w:rPr>
          <w:sz w:val="26"/>
          <w:szCs w:val="26"/>
        </w:rPr>
      </w:pPr>
    </w:p>
    <w:p w14:paraId="04B6AC15" w14:textId="77777777" w:rsidR="00973856" w:rsidRDefault="00A36C1D" w:rsidP="00A36C1D">
      <w:pPr>
        <w:pBdr>
          <w:top w:val="nil"/>
          <w:left w:val="nil"/>
          <w:bottom w:val="nil"/>
          <w:right w:val="nil"/>
          <w:between w:val="nil"/>
        </w:pBdr>
        <w:shd w:val="clear" w:color="auto" w:fill="FFFFFF"/>
        <w:spacing w:line="240" w:lineRule="auto"/>
        <w:ind w:left="1" w:right="134" w:hanging="3"/>
        <w:jc w:val="both"/>
        <w:rPr>
          <w:sz w:val="26"/>
          <w:szCs w:val="26"/>
        </w:rPr>
      </w:pPr>
      <w:r w:rsidRPr="00A36C1D">
        <w:rPr>
          <w:sz w:val="26"/>
          <w:szCs w:val="26"/>
        </w:rPr>
        <w:t>членів Комісії: Андрія ПАСІЧНИКА, Романа САБОДАША (доповідач),</w:t>
      </w:r>
    </w:p>
    <w:p w14:paraId="6EF44A3D" w14:textId="77777777" w:rsidR="00A36C1D" w:rsidRPr="00C22B51" w:rsidRDefault="00A36C1D" w:rsidP="00A36C1D">
      <w:pPr>
        <w:pBdr>
          <w:top w:val="nil"/>
          <w:left w:val="nil"/>
          <w:bottom w:val="nil"/>
          <w:right w:val="nil"/>
          <w:between w:val="nil"/>
        </w:pBdr>
        <w:shd w:val="clear" w:color="auto" w:fill="FFFFFF"/>
        <w:spacing w:line="240" w:lineRule="auto"/>
        <w:ind w:left="1" w:right="134" w:hanging="3"/>
        <w:jc w:val="both"/>
        <w:rPr>
          <w:sz w:val="26"/>
          <w:szCs w:val="26"/>
        </w:rPr>
      </w:pPr>
    </w:p>
    <w:p w14:paraId="2CD0F13C" w14:textId="77777777" w:rsidR="00973856" w:rsidRPr="00C22B51" w:rsidRDefault="00934417"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C22B51">
        <w:rPr>
          <w:sz w:val="26"/>
          <w:szCs w:val="26"/>
        </w:rPr>
        <w:t xml:space="preserve">розглянувши питання допуску </w:t>
      </w:r>
      <w:proofErr w:type="spellStart"/>
      <w:r w:rsidR="007C5D03">
        <w:rPr>
          <w:sz w:val="26"/>
          <w:szCs w:val="26"/>
        </w:rPr>
        <w:t>Шиміної</w:t>
      </w:r>
      <w:proofErr w:type="spellEnd"/>
      <w:r w:rsidR="00397993" w:rsidRPr="00397993">
        <w:rPr>
          <w:sz w:val="26"/>
          <w:szCs w:val="26"/>
        </w:rPr>
        <w:t xml:space="preserve"> </w:t>
      </w:r>
      <w:r w:rsidR="00986909">
        <w:rPr>
          <w:sz w:val="26"/>
          <w:szCs w:val="26"/>
        </w:rPr>
        <w:t>М</w:t>
      </w:r>
      <w:r w:rsidR="007C5D03">
        <w:rPr>
          <w:sz w:val="26"/>
          <w:szCs w:val="26"/>
        </w:rPr>
        <w:t>ирослави</w:t>
      </w:r>
      <w:r w:rsidR="00397993" w:rsidRPr="00397993">
        <w:rPr>
          <w:sz w:val="26"/>
          <w:szCs w:val="26"/>
        </w:rPr>
        <w:t xml:space="preserve"> </w:t>
      </w:r>
      <w:r w:rsidR="007C5D03">
        <w:rPr>
          <w:sz w:val="26"/>
          <w:szCs w:val="26"/>
        </w:rPr>
        <w:t>Тимофіївни</w:t>
      </w:r>
      <w:r w:rsidRPr="00C22B51">
        <w:rPr>
          <w:sz w:val="26"/>
          <w:szCs w:val="26"/>
        </w:rPr>
        <w:t xml:space="preserve"> до участі в доборі на посаду судді місцевого суду, оголошеному рішенням Комісії від 11 грудня 2024 року №</w:t>
      </w:r>
      <w:r w:rsidR="00042CFF">
        <w:rPr>
          <w:sz w:val="26"/>
          <w:szCs w:val="26"/>
        </w:rPr>
        <w:t> </w:t>
      </w:r>
      <w:r w:rsidRPr="00C22B51">
        <w:rPr>
          <w:sz w:val="26"/>
          <w:szCs w:val="26"/>
        </w:rPr>
        <w:t>366/зп-24,</w:t>
      </w:r>
    </w:p>
    <w:p w14:paraId="66C35400" w14:textId="77777777" w:rsidR="00973856" w:rsidRPr="00C22B51" w:rsidRDefault="00973856"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p>
    <w:p w14:paraId="6E7A6F98" w14:textId="77777777" w:rsidR="00973856" w:rsidRPr="00C22B51" w:rsidRDefault="007C4E9C"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C22B51">
        <w:rPr>
          <w:sz w:val="26"/>
          <w:szCs w:val="26"/>
        </w:rPr>
        <w:t>встановила:</w:t>
      </w:r>
    </w:p>
    <w:p w14:paraId="6A181420" w14:textId="77777777" w:rsidR="004A0C97" w:rsidRPr="00C22B51" w:rsidRDefault="004A0C97"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p>
    <w:p w14:paraId="38C8FDD8" w14:textId="77777777"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881831" w:rsidRPr="00690F5C">
        <w:rPr>
          <w:sz w:val="26"/>
          <w:szCs w:val="26"/>
        </w:rPr>
        <w:t xml:space="preserve">цим </w:t>
      </w:r>
      <w:r w:rsidRPr="00690F5C">
        <w:rPr>
          <w:sz w:val="26"/>
          <w:szCs w:val="26"/>
        </w:rPr>
        <w:t>Законом вимогам до кандидата на посаду судді на основі поданих документів.</w:t>
      </w:r>
    </w:p>
    <w:p w14:paraId="11BF28BB" w14:textId="77777777"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Участь у доборі на посаду судді можуть брати особи, які подали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D8A3891" w14:textId="77777777"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 xml:space="preserve">Про допуск або про відмову в допуску до участі у доборі на посаду судді </w:t>
      </w:r>
      <w:r w:rsidR="00881831" w:rsidRPr="00690F5C">
        <w:rPr>
          <w:sz w:val="26"/>
          <w:szCs w:val="26"/>
        </w:rPr>
        <w:t>Вища кваліфікаційна комісія суддів України</w:t>
      </w:r>
      <w:r w:rsidRPr="00690F5C">
        <w:rPr>
          <w:sz w:val="26"/>
          <w:szCs w:val="26"/>
        </w:rPr>
        <w:t xml:space="preserve"> ухвалює вмотивоване рішення (частина четверта статті 73 Закону).</w:t>
      </w:r>
    </w:p>
    <w:p w14:paraId="6AA8FA13" w14:textId="77777777"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6F8E9E37" w14:textId="77777777"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690F5C">
        <w:rPr>
          <w:sz w:val="26"/>
          <w:szCs w:val="26"/>
        </w:rPr>
        <w:t>,</w:t>
      </w:r>
      <w:r w:rsidRPr="00690F5C">
        <w:rPr>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D5892B9" w14:textId="77777777" w:rsidR="004A0C97"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lastRenderedPageBreak/>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A01AF07" w14:textId="77777777" w:rsidR="00677DB1" w:rsidRPr="00677DB1" w:rsidRDefault="00677DB1" w:rsidP="00677DB1">
      <w:pPr>
        <w:pBdr>
          <w:top w:val="nil"/>
          <w:left w:val="nil"/>
          <w:bottom w:val="nil"/>
          <w:right w:val="nil"/>
          <w:between w:val="nil"/>
        </w:pBdr>
        <w:spacing w:line="240" w:lineRule="auto"/>
        <w:ind w:leftChars="0" w:firstLineChars="271" w:firstLine="705"/>
        <w:jc w:val="both"/>
        <w:rPr>
          <w:sz w:val="26"/>
          <w:szCs w:val="26"/>
        </w:rPr>
      </w:pPr>
      <w:r w:rsidRPr="00677DB1">
        <w:rPr>
          <w:sz w:val="26"/>
          <w:szCs w:val="26"/>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0DA487FF" w14:textId="74F0C2EA" w:rsidR="007C3E26" w:rsidRPr="00690F5C" w:rsidRDefault="007C3E26" w:rsidP="007C3E26">
      <w:pPr>
        <w:spacing w:line="240" w:lineRule="auto"/>
        <w:ind w:leftChars="0" w:left="0" w:firstLineChars="271" w:firstLine="705"/>
        <w:jc w:val="both"/>
        <w:rPr>
          <w:sz w:val="26"/>
          <w:szCs w:val="26"/>
          <w:shd w:val="clear" w:color="auto" w:fill="FFFFFF"/>
        </w:rPr>
      </w:pPr>
      <w:r w:rsidRPr="00690F5C">
        <w:rPr>
          <w:sz w:val="26"/>
          <w:szCs w:val="26"/>
          <w:shd w:val="clear" w:color="auto" w:fill="FFFFFF"/>
        </w:rPr>
        <w:t>До Комісії</w:t>
      </w:r>
      <w:r w:rsidR="00A36C1D">
        <w:rPr>
          <w:sz w:val="26"/>
          <w:szCs w:val="26"/>
          <w:shd w:val="clear" w:color="auto" w:fill="FFFFFF"/>
        </w:rPr>
        <w:t xml:space="preserve"> </w:t>
      </w:r>
      <w:r w:rsidR="00986909">
        <w:rPr>
          <w:sz w:val="26"/>
          <w:szCs w:val="26"/>
          <w:shd w:val="clear" w:color="auto" w:fill="FFFFFF"/>
        </w:rPr>
        <w:t>30</w:t>
      </w:r>
      <w:r w:rsidR="00CA3CE9">
        <w:rPr>
          <w:sz w:val="26"/>
          <w:szCs w:val="26"/>
          <w:shd w:val="clear" w:color="auto" w:fill="FFFFFF"/>
        </w:rPr>
        <w:t xml:space="preserve"> </w:t>
      </w:r>
      <w:r w:rsidR="00A36C1D" w:rsidRPr="00690F5C">
        <w:rPr>
          <w:sz w:val="26"/>
          <w:szCs w:val="26"/>
          <w:shd w:val="clear" w:color="auto" w:fill="FFFFFF"/>
        </w:rPr>
        <w:t>березня 2025 року</w:t>
      </w:r>
      <w:r w:rsidRPr="00690F5C">
        <w:rPr>
          <w:sz w:val="26"/>
          <w:szCs w:val="26"/>
          <w:shd w:val="clear" w:color="auto" w:fill="FFFFFF"/>
        </w:rPr>
        <w:t xml:space="preserve"> </w:t>
      </w:r>
      <w:r w:rsidR="00A36C1D">
        <w:rPr>
          <w:sz w:val="26"/>
          <w:szCs w:val="26"/>
          <w:shd w:val="clear" w:color="auto" w:fill="FFFFFF"/>
        </w:rPr>
        <w:t>надійшла</w:t>
      </w:r>
      <w:r w:rsidRPr="00690F5C">
        <w:rPr>
          <w:sz w:val="26"/>
          <w:szCs w:val="26"/>
          <w:shd w:val="clear" w:color="auto" w:fill="FFFFFF"/>
        </w:rPr>
        <w:t xml:space="preserve"> заяв</w:t>
      </w:r>
      <w:r w:rsidR="00A36C1D">
        <w:rPr>
          <w:sz w:val="26"/>
          <w:szCs w:val="26"/>
          <w:shd w:val="clear" w:color="auto" w:fill="FFFFFF"/>
        </w:rPr>
        <w:t>а</w:t>
      </w:r>
      <w:r w:rsidRPr="00690F5C">
        <w:rPr>
          <w:sz w:val="26"/>
          <w:szCs w:val="26"/>
          <w:shd w:val="clear" w:color="auto" w:fill="FFFFFF"/>
        </w:rPr>
        <w:t xml:space="preserve"> </w:t>
      </w:r>
      <w:proofErr w:type="spellStart"/>
      <w:r w:rsidR="007C5D03">
        <w:rPr>
          <w:sz w:val="26"/>
          <w:szCs w:val="26"/>
        </w:rPr>
        <w:t>Шиміної</w:t>
      </w:r>
      <w:proofErr w:type="spellEnd"/>
      <w:r w:rsidR="007C5D03" w:rsidRPr="00397993">
        <w:rPr>
          <w:sz w:val="26"/>
          <w:szCs w:val="26"/>
        </w:rPr>
        <w:t xml:space="preserve"> </w:t>
      </w:r>
      <w:r w:rsidR="007C5D03">
        <w:rPr>
          <w:sz w:val="26"/>
          <w:szCs w:val="26"/>
        </w:rPr>
        <w:t>Мирослави</w:t>
      </w:r>
      <w:r w:rsidR="007C5D03" w:rsidRPr="00397993">
        <w:rPr>
          <w:sz w:val="26"/>
          <w:szCs w:val="26"/>
        </w:rPr>
        <w:t xml:space="preserve"> </w:t>
      </w:r>
      <w:r w:rsidR="007C5D03">
        <w:rPr>
          <w:sz w:val="26"/>
          <w:szCs w:val="26"/>
        </w:rPr>
        <w:t>Тимофіївни</w:t>
      </w:r>
      <w:r w:rsidR="00A36C1D" w:rsidRPr="00C22B51">
        <w:rPr>
          <w:sz w:val="26"/>
          <w:szCs w:val="26"/>
        </w:rPr>
        <w:t xml:space="preserve"> </w:t>
      </w:r>
      <w:r w:rsidRPr="00690F5C">
        <w:rPr>
          <w:sz w:val="26"/>
          <w:szCs w:val="26"/>
          <w:shd w:val="clear" w:color="auto" w:fill="FFFFFF"/>
        </w:rPr>
        <w:t>про участь у Доборі.</w:t>
      </w:r>
    </w:p>
    <w:p w14:paraId="7C01FD0D" w14:textId="77777777" w:rsidR="00986909" w:rsidRPr="00986909" w:rsidRDefault="00986909" w:rsidP="00986909">
      <w:pPr>
        <w:pBdr>
          <w:top w:val="nil"/>
          <w:left w:val="nil"/>
          <w:bottom w:val="nil"/>
          <w:right w:val="nil"/>
          <w:between w:val="nil"/>
        </w:pBdr>
        <w:spacing w:line="240" w:lineRule="auto"/>
        <w:ind w:leftChars="0" w:firstLineChars="271" w:firstLine="705"/>
        <w:jc w:val="both"/>
        <w:textDirection w:val="lrTb"/>
        <w:rPr>
          <w:sz w:val="26"/>
          <w:szCs w:val="26"/>
        </w:rPr>
      </w:pPr>
      <w:r w:rsidRPr="00986909">
        <w:rPr>
          <w:sz w:val="26"/>
          <w:szCs w:val="26"/>
        </w:rPr>
        <w:t>Згідно з підпунктом 13.14 пункту 13 Оголошення документом, що підтверджує відповідний рівень володіння державною мовою, встановленим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7355DD7F" w14:textId="77777777" w:rsidR="00986909" w:rsidRPr="00986909" w:rsidRDefault="00986909" w:rsidP="00986909">
      <w:pPr>
        <w:pBdr>
          <w:top w:val="nil"/>
          <w:left w:val="nil"/>
          <w:bottom w:val="nil"/>
          <w:right w:val="nil"/>
          <w:between w:val="nil"/>
        </w:pBdr>
        <w:spacing w:line="240" w:lineRule="auto"/>
        <w:ind w:leftChars="0" w:firstLineChars="271" w:firstLine="705"/>
        <w:jc w:val="both"/>
        <w:textDirection w:val="lrTb"/>
        <w:rPr>
          <w:sz w:val="26"/>
          <w:szCs w:val="26"/>
        </w:rPr>
      </w:pPr>
      <w:r w:rsidRPr="00986909">
        <w:rPr>
          <w:sz w:val="26"/>
          <w:szCs w:val="26"/>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401F420E" w14:textId="77777777" w:rsidR="00986909" w:rsidRPr="00986909" w:rsidRDefault="00986909" w:rsidP="00986909">
      <w:pPr>
        <w:pBdr>
          <w:top w:val="nil"/>
          <w:left w:val="nil"/>
          <w:bottom w:val="nil"/>
          <w:right w:val="nil"/>
          <w:between w:val="nil"/>
        </w:pBdr>
        <w:spacing w:line="240" w:lineRule="auto"/>
        <w:ind w:leftChars="0" w:firstLineChars="271" w:firstLine="705"/>
        <w:jc w:val="both"/>
        <w:textDirection w:val="lrTb"/>
        <w:rPr>
          <w:sz w:val="26"/>
          <w:szCs w:val="26"/>
        </w:rPr>
      </w:pPr>
      <w:r w:rsidRPr="00986909">
        <w:rPr>
          <w:sz w:val="26"/>
          <w:szCs w:val="26"/>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0A35E2BD" w14:textId="77777777" w:rsidR="00986909" w:rsidRDefault="00986909" w:rsidP="00986909">
      <w:pPr>
        <w:pBdr>
          <w:top w:val="nil"/>
          <w:left w:val="nil"/>
          <w:bottom w:val="nil"/>
          <w:right w:val="nil"/>
          <w:between w:val="nil"/>
        </w:pBdr>
        <w:spacing w:line="240" w:lineRule="auto"/>
        <w:ind w:leftChars="0" w:firstLineChars="271" w:firstLine="705"/>
        <w:jc w:val="both"/>
        <w:textDirection w:val="lrTb"/>
        <w:rPr>
          <w:sz w:val="26"/>
          <w:szCs w:val="26"/>
        </w:rPr>
      </w:pPr>
      <w:r w:rsidRPr="00986909">
        <w:rPr>
          <w:sz w:val="26"/>
          <w:szCs w:val="26"/>
        </w:rPr>
        <w:t xml:space="preserve">Дослідивши подані </w:t>
      </w:r>
      <w:proofErr w:type="spellStart"/>
      <w:r w:rsidR="007C5D03">
        <w:rPr>
          <w:sz w:val="26"/>
          <w:szCs w:val="26"/>
        </w:rPr>
        <w:t>Шиміною</w:t>
      </w:r>
      <w:proofErr w:type="spellEnd"/>
      <w:r w:rsidR="007C5D03" w:rsidRPr="00397993">
        <w:rPr>
          <w:sz w:val="26"/>
          <w:szCs w:val="26"/>
        </w:rPr>
        <w:t xml:space="preserve"> </w:t>
      </w:r>
      <w:proofErr w:type="spellStart"/>
      <w:r w:rsidR="007C5D03">
        <w:rPr>
          <w:sz w:val="26"/>
          <w:szCs w:val="26"/>
        </w:rPr>
        <w:t>Мирославою</w:t>
      </w:r>
      <w:proofErr w:type="spellEnd"/>
      <w:r w:rsidR="007C5D03" w:rsidRPr="00397993">
        <w:rPr>
          <w:sz w:val="26"/>
          <w:szCs w:val="26"/>
        </w:rPr>
        <w:t xml:space="preserve"> </w:t>
      </w:r>
      <w:r w:rsidR="007C5D03">
        <w:rPr>
          <w:sz w:val="26"/>
          <w:szCs w:val="26"/>
        </w:rPr>
        <w:t>Тимофіївною</w:t>
      </w:r>
      <w:r w:rsidR="007C5D03" w:rsidRPr="00C22B51">
        <w:rPr>
          <w:sz w:val="26"/>
          <w:szCs w:val="26"/>
        </w:rPr>
        <w:t xml:space="preserve"> </w:t>
      </w:r>
      <w:r w:rsidRPr="00986909">
        <w:rPr>
          <w:sz w:val="26"/>
          <w:szCs w:val="26"/>
        </w:rPr>
        <w:t>документи, Комісія встановила, що кандидат не пода</w:t>
      </w:r>
      <w:r w:rsidR="003B5AAB">
        <w:rPr>
          <w:sz w:val="26"/>
          <w:szCs w:val="26"/>
        </w:rPr>
        <w:t>ла</w:t>
      </w:r>
      <w:r w:rsidRPr="00986909">
        <w:rPr>
          <w:sz w:val="26"/>
          <w:szCs w:val="26"/>
        </w:rPr>
        <w:t xml:space="preserve"> копії документа, що підтверджує володіння державною мовою відповідно до рівня, визначеного Національною комісією зі стандартів державної мови.</w:t>
      </w:r>
    </w:p>
    <w:p w14:paraId="5048235B" w14:textId="77777777" w:rsidR="00BE1E72" w:rsidRPr="00BE1E72" w:rsidRDefault="00BE1E72" w:rsidP="00BE1E72">
      <w:pPr>
        <w:pBdr>
          <w:top w:val="nil"/>
          <w:left w:val="nil"/>
          <w:bottom w:val="nil"/>
          <w:right w:val="nil"/>
          <w:between w:val="nil"/>
        </w:pBdr>
        <w:spacing w:line="240" w:lineRule="auto"/>
        <w:ind w:leftChars="0" w:firstLineChars="271" w:firstLine="705"/>
        <w:jc w:val="both"/>
        <w:textDirection w:val="lrTb"/>
        <w:rPr>
          <w:sz w:val="26"/>
          <w:szCs w:val="26"/>
        </w:rPr>
      </w:pPr>
      <w:r w:rsidRPr="00BE1E72">
        <w:rPr>
          <w:sz w:val="26"/>
          <w:szCs w:val="26"/>
        </w:rPr>
        <w:t>Відповідно до частини четвертої статті 72 Закону приймання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p>
    <w:p w14:paraId="7A814AD3" w14:textId="77777777" w:rsidR="00BE1E72" w:rsidRDefault="00BE1E72" w:rsidP="00BE1E72">
      <w:pPr>
        <w:pBdr>
          <w:top w:val="nil"/>
          <w:left w:val="nil"/>
          <w:bottom w:val="nil"/>
          <w:right w:val="nil"/>
          <w:between w:val="nil"/>
        </w:pBdr>
        <w:spacing w:line="240" w:lineRule="auto"/>
        <w:ind w:leftChars="0" w:firstLineChars="271" w:firstLine="705"/>
        <w:jc w:val="both"/>
        <w:textDirection w:val="lrTb"/>
        <w:rPr>
          <w:sz w:val="26"/>
          <w:szCs w:val="26"/>
        </w:rPr>
      </w:pPr>
      <w:r w:rsidRPr="00BE1E72">
        <w:rPr>
          <w:sz w:val="26"/>
          <w:szCs w:val="26"/>
        </w:rPr>
        <w:t>Рішенням Комісії від 11 грудня 2024 року № 366/зп-24 визначено строк подання документів для участі у доборі на посаду судді місцевого суду – з 01 березня 2025 року до 30 березня 2025 року (включно).</w:t>
      </w:r>
    </w:p>
    <w:p w14:paraId="4D2068A7" w14:textId="77777777" w:rsidR="00E75107" w:rsidRDefault="00E75107" w:rsidP="00BE1E72">
      <w:pPr>
        <w:pBdr>
          <w:top w:val="nil"/>
          <w:left w:val="nil"/>
          <w:bottom w:val="nil"/>
          <w:right w:val="nil"/>
          <w:between w:val="nil"/>
        </w:pBdr>
        <w:spacing w:line="240" w:lineRule="auto"/>
        <w:ind w:leftChars="0" w:firstLineChars="271" w:firstLine="705"/>
        <w:jc w:val="both"/>
        <w:textDirection w:val="lrTb"/>
        <w:rPr>
          <w:sz w:val="26"/>
          <w:szCs w:val="26"/>
        </w:rPr>
      </w:pPr>
      <w:r w:rsidRPr="00E75107">
        <w:rPr>
          <w:sz w:val="26"/>
          <w:szCs w:val="26"/>
        </w:rPr>
        <w:t xml:space="preserve">28 березня 2025 року на сторінці «Новини» офіційного </w:t>
      </w:r>
      <w:proofErr w:type="spellStart"/>
      <w:r w:rsidRPr="00E75107">
        <w:rPr>
          <w:sz w:val="26"/>
          <w:szCs w:val="26"/>
        </w:rPr>
        <w:t>вебсайту</w:t>
      </w:r>
      <w:proofErr w:type="spellEnd"/>
      <w:r w:rsidRPr="00E75107">
        <w:rPr>
          <w:sz w:val="26"/>
          <w:szCs w:val="26"/>
        </w:rPr>
        <w:t xml:space="preserve"> Комісії розміщено повідомлення «До уваги осіб, які мають намір взяти участь у доборі», в якому наголошено, що в неділю 30 березня 2025 року завершується основний строк подання документів для участі в доборі на посаду судді місцевого суду.</w:t>
      </w:r>
    </w:p>
    <w:p w14:paraId="6F5BAD00" w14:textId="77777777" w:rsidR="00E75107" w:rsidRDefault="00BE1E72" w:rsidP="00E75107">
      <w:pPr>
        <w:pBdr>
          <w:top w:val="nil"/>
          <w:left w:val="nil"/>
          <w:bottom w:val="nil"/>
          <w:right w:val="nil"/>
          <w:between w:val="nil"/>
        </w:pBdr>
        <w:spacing w:line="240" w:lineRule="auto"/>
        <w:ind w:leftChars="0" w:firstLineChars="271" w:firstLine="705"/>
        <w:jc w:val="both"/>
        <w:textDirection w:val="lrTb"/>
        <w:rPr>
          <w:sz w:val="26"/>
          <w:szCs w:val="26"/>
        </w:rPr>
      </w:pPr>
      <w:r>
        <w:rPr>
          <w:sz w:val="26"/>
          <w:szCs w:val="26"/>
        </w:rPr>
        <w:t xml:space="preserve">Листом від </w:t>
      </w:r>
      <w:r w:rsidR="007C5D03">
        <w:rPr>
          <w:sz w:val="26"/>
          <w:szCs w:val="26"/>
        </w:rPr>
        <w:t>0</w:t>
      </w:r>
      <w:r>
        <w:rPr>
          <w:sz w:val="26"/>
          <w:szCs w:val="26"/>
        </w:rPr>
        <w:t xml:space="preserve">8 квітня 2025 року </w:t>
      </w:r>
      <w:proofErr w:type="spellStart"/>
      <w:r w:rsidR="007C5D03">
        <w:rPr>
          <w:sz w:val="26"/>
          <w:szCs w:val="26"/>
        </w:rPr>
        <w:t>Шиміна</w:t>
      </w:r>
      <w:proofErr w:type="spellEnd"/>
      <w:r w:rsidR="007C5D03" w:rsidRPr="00397993">
        <w:rPr>
          <w:sz w:val="26"/>
          <w:szCs w:val="26"/>
        </w:rPr>
        <w:t xml:space="preserve"> </w:t>
      </w:r>
      <w:r w:rsidR="007C5D03">
        <w:rPr>
          <w:sz w:val="26"/>
          <w:szCs w:val="26"/>
        </w:rPr>
        <w:t>Мирослава</w:t>
      </w:r>
      <w:r w:rsidR="007C5D03" w:rsidRPr="00397993">
        <w:rPr>
          <w:sz w:val="26"/>
          <w:szCs w:val="26"/>
        </w:rPr>
        <w:t xml:space="preserve"> </w:t>
      </w:r>
      <w:r w:rsidR="007C5D03">
        <w:rPr>
          <w:sz w:val="26"/>
          <w:szCs w:val="26"/>
        </w:rPr>
        <w:t>Тимофіївна</w:t>
      </w:r>
      <w:r w:rsidR="007C5D03" w:rsidRPr="00C22B51">
        <w:rPr>
          <w:sz w:val="26"/>
          <w:szCs w:val="26"/>
        </w:rPr>
        <w:t xml:space="preserve"> </w:t>
      </w:r>
      <w:r w:rsidR="00FF4EBA" w:rsidRPr="00FF4EBA">
        <w:rPr>
          <w:sz w:val="26"/>
          <w:szCs w:val="26"/>
        </w:rPr>
        <w:t>над</w:t>
      </w:r>
      <w:r>
        <w:rPr>
          <w:sz w:val="26"/>
          <w:szCs w:val="26"/>
        </w:rPr>
        <w:t>іслала</w:t>
      </w:r>
      <w:r w:rsidR="00FF4EBA" w:rsidRPr="00FF4EBA">
        <w:rPr>
          <w:sz w:val="26"/>
          <w:szCs w:val="26"/>
        </w:rPr>
        <w:t xml:space="preserve"> копію Державного сертифіката про рівень володіння державною мовою </w:t>
      </w:r>
      <w:r>
        <w:rPr>
          <w:sz w:val="26"/>
          <w:szCs w:val="26"/>
        </w:rPr>
        <w:t>від 31 березня 2025</w:t>
      </w:r>
      <w:r w:rsidR="007C5D03">
        <w:rPr>
          <w:sz w:val="26"/>
          <w:szCs w:val="26"/>
        </w:rPr>
        <w:t> </w:t>
      </w:r>
      <w:r>
        <w:rPr>
          <w:sz w:val="26"/>
          <w:szCs w:val="26"/>
        </w:rPr>
        <w:t xml:space="preserve">року </w:t>
      </w:r>
      <w:r w:rsidR="00FF4EBA" w:rsidRPr="00FF4EBA">
        <w:rPr>
          <w:sz w:val="26"/>
          <w:szCs w:val="26"/>
        </w:rPr>
        <w:t>сері</w:t>
      </w:r>
      <w:r>
        <w:rPr>
          <w:sz w:val="26"/>
          <w:szCs w:val="26"/>
        </w:rPr>
        <w:t>ї</w:t>
      </w:r>
      <w:r w:rsidR="00FF4EBA" w:rsidRPr="00FF4EBA">
        <w:rPr>
          <w:sz w:val="26"/>
          <w:szCs w:val="26"/>
        </w:rPr>
        <w:t xml:space="preserve"> </w:t>
      </w:r>
      <w:r w:rsidR="002B60E3">
        <w:rPr>
          <w:sz w:val="26"/>
          <w:szCs w:val="26"/>
        </w:rPr>
        <w:t xml:space="preserve">УМД </w:t>
      </w:r>
      <w:r w:rsidR="00FF4EBA" w:rsidRPr="00FF4EBA">
        <w:rPr>
          <w:sz w:val="26"/>
          <w:szCs w:val="26"/>
        </w:rPr>
        <w:t xml:space="preserve">№ </w:t>
      </w:r>
      <w:r w:rsidR="002B60E3">
        <w:rPr>
          <w:sz w:val="26"/>
          <w:szCs w:val="26"/>
        </w:rPr>
        <w:t>002</w:t>
      </w:r>
      <w:r>
        <w:rPr>
          <w:sz w:val="26"/>
          <w:szCs w:val="26"/>
        </w:rPr>
        <w:t>9</w:t>
      </w:r>
      <w:r w:rsidR="007C5D03">
        <w:rPr>
          <w:sz w:val="26"/>
          <w:szCs w:val="26"/>
        </w:rPr>
        <w:t>0942</w:t>
      </w:r>
      <w:r w:rsidR="00FF4EBA" w:rsidRPr="00FF4EBA">
        <w:rPr>
          <w:sz w:val="26"/>
          <w:szCs w:val="26"/>
        </w:rPr>
        <w:t>.</w:t>
      </w:r>
    </w:p>
    <w:p w14:paraId="2B08CD24" w14:textId="77777777" w:rsidR="00E75107" w:rsidRPr="00FF4EBA" w:rsidRDefault="00E75107" w:rsidP="00E75107">
      <w:pPr>
        <w:pBdr>
          <w:top w:val="nil"/>
          <w:left w:val="nil"/>
          <w:bottom w:val="nil"/>
          <w:right w:val="nil"/>
          <w:between w:val="nil"/>
        </w:pBdr>
        <w:spacing w:line="240" w:lineRule="auto"/>
        <w:ind w:leftChars="0" w:firstLineChars="271" w:firstLine="705"/>
        <w:jc w:val="both"/>
        <w:textDirection w:val="lrTb"/>
        <w:rPr>
          <w:sz w:val="26"/>
          <w:szCs w:val="26"/>
        </w:rPr>
      </w:pPr>
      <w:r w:rsidRPr="00E75107">
        <w:rPr>
          <w:sz w:val="26"/>
          <w:szCs w:val="26"/>
        </w:rPr>
        <w:t xml:space="preserve">Отже, </w:t>
      </w:r>
      <w:proofErr w:type="spellStart"/>
      <w:r w:rsidR="007C5D03">
        <w:rPr>
          <w:sz w:val="26"/>
          <w:szCs w:val="26"/>
        </w:rPr>
        <w:t>Шиміною</w:t>
      </w:r>
      <w:proofErr w:type="spellEnd"/>
      <w:r w:rsidR="007C5D03" w:rsidRPr="00397993">
        <w:rPr>
          <w:sz w:val="26"/>
          <w:szCs w:val="26"/>
        </w:rPr>
        <w:t xml:space="preserve"> </w:t>
      </w:r>
      <w:proofErr w:type="spellStart"/>
      <w:r w:rsidR="007C5D03">
        <w:rPr>
          <w:sz w:val="26"/>
          <w:szCs w:val="26"/>
        </w:rPr>
        <w:t>Мирославою</w:t>
      </w:r>
      <w:proofErr w:type="spellEnd"/>
      <w:r w:rsidR="007C5D03" w:rsidRPr="00397993">
        <w:rPr>
          <w:sz w:val="26"/>
          <w:szCs w:val="26"/>
        </w:rPr>
        <w:t xml:space="preserve"> </w:t>
      </w:r>
      <w:r w:rsidR="007C5D03">
        <w:rPr>
          <w:sz w:val="26"/>
          <w:szCs w:val="26"/>
        </w:rPr>
        <w:t>Тимофіївною</w:t>
      </w:r>
      <w:r w:rsidR="007C5D03" w:rsidRPr="00C22B51">
        <w:rPr>
          <w:sz w:val="26"/>
          <w:szCs w:val="26"/>
        </w:rPr>
        <w:t xml:space="preserve"> </w:t>
      </w:r>
      <w:r w:rsidRPr="00E75107">
        <w:rPr>
          <w:sz w:val="26"/>
          <w:szCs w:val="26"/>
        </w:rPr>
        <w:t>не дотримано встановленого Комісією кінцевого строку подання документів для участі в Доборі.</w:t>
      </w:r>
    </w:p>
    <w:p w14:paraId="0BB2A68A" w14:textId="77777777" w:rsidR="007C3E26" w:rsidRDefault="007C3E26" w:rsidP="00677DB1">
      <w:pPr>
        <w:pBdr>
          <w:top w:val="nil"/>
          <w:left w:val="nil"/>
          <w:bottom w:val="nil"/>
          <w:right w:val="nil"/>
          <w:between w:val="nil"/>
        </w:pBdr>
        <w:spacing w:line="240" w:lineRule="auto"/>
        <w:ind w:leftChars="0" w:left="0" w:firstLineChars="271" w:firstLine="705"/>
        <w:jc w:val="both"/>
        <w:rPr>
          <w:sz w:val="26"/>
          <w:szCs w:val="26"/>
        </w:rPr>
      </w:pPr>
      <w:r w:rsidRPr="007C3E26">
        <w:rPr>
          <w:sz w:val="26"/>
          <w:szCs w:val="26"/>
        </w:rPr>
        <w:t>Урахувавши викладене, Комісія дійшла висновку, що неподання</w:t>
      </w:r>
      <w:r w:rsidR="00E535E8">
        <w:rPr>
          <w:sz w:val="26"/>
          <w:szCs w:val="26"/>
        </w:rPr>
        <w:t xml:space="preserve"> </w:t>
      </w:r>
      <w:proofErr w:type="spellStart"/>
      <w:r w:rsidR="007C5D03">
        <w:rPr>
          <w:sz w:val="26"/>
          <w:szCs w:val="26"/>
        </w:rPr>
        <w:t>Шиміною</w:t>
      </w:r>
      <w:proofErr w:type="spellEnd"/>
      <w:r w:rsidR="007C5D03" w:rsidRPr="00397993">
        <w:rPr>
          <w:sz w:val="26"/>
          <w:szCs w:val="26"/>
        </w:rPr>
        <w:t xml:space="preserve"> </w:t>
      </w:r>
      <w:proofErr w:type="spellStart"/>
      <w:r w:rsidR="007C5D03">
        <w:rPr>
          <w:sz w:val="26"/>
          <w:szCs w:val="26"/>
        </w:rPr>
        <w:t>Мирославою</w:t>
      </w:r>
      <w:proofErr w:type="spellEnd"/>
      <w:r w:rsidR="007C5D03" w:rsidRPr="00397993">
        <w:rPr>
          <w:sz w:val="26"/>
          <w:szCs w:val="26"/>
        </w:rPr>
        <w:t xml:space="preserve"> </w:t>
      </w:r>
      <w:r w:rsidR="007C5D03">
        <w:rPr>
          <w:sz w:val="26"/>
          <w:szCs w:val="26"/>
        </w:rPr>
        <w:t>Тимофіївною</w:t>
      </w:r>
      <w:r w:rsidR="00E75107" w:rsidRPr="00986909">
        <w:rPr>
          <w:sz w:val="26"/>
          <w:szCs w:val="26"/>
        </w:rPr>
        <w:t xml:space="preserve"> </w:t>
      </w:r>
      <w:r w:rsidRPr="007C3E26">
        <w:rPr>
          <w:sz w:val="26"/>
          <w:szCs w:val="26"/>
        </w:rPr>
        <w:t>усіх документів</w:t>
      </w:r>
      <w:r w:rsidR="00A36C1D">
        <w:rPr>
          <w:sz w:val="26"/>
          <w:szCs w:val="26"/>
        </w:rPr>
        <w:t>,</w:t>
      </w:r>
      <w:r w:rsidR="00E535E8">
        <w:rPr>
          <w:sz w:val="26"/>
          <w:szCs w:val="26"/>
        </w:rPr>
        <w:t xml:space="preserve"> </w:t>
      </w:r>
      <w:r w:rsidR="00A36C1D" w:rsidRPr="007C3E26">
        <w:rPr>
          <w:sz w:val="26"/>
          <w:szCs w:val="26"/>
        </w:rPr>
        <w:t>визначених частиною першою статті 72 Закону</w:t>
      </w:r>
      <w:r w:rsidR="003B5AAB">
        <w:rPr>
          <w:sz w:val="26"/>
          <w:szCs w:val="26"/>
        </w:rPr>
        <w:t>,</w:t>
      </w:r>
      <w:r w:rsidR="00A36C1D">
        <w:rPr>
          <w:sz w:val="26"/>
          <w:szCs w:val="26"/>
        </w:rPr>
        <w:t xml:space="preserve"> </w:t>
      </w:r>
      <w:r w:rsidRPr="007C3E26">
        <w:rPr>
          <w:sz w:val="26"/>
          <w:szCs w:val="26"/>
        </w:rPr>
        <w:t xml:space="preserve">є підставою для відмови у </w:t>
      </w:r>
      <w:r w:rsidR="00E535E8">
        <w:rPr>
          <w:sz w:val="26"/>
          <w:szCs w:val="26"/>
        </w:rPr>
        <w:t>її</w:t>
      </w:r>
      <w:r w:rsidRPr="007C3E26">
        <w:rPr>
          <w:sz w:val="26"/>
          <w:szCs w:val="26"/>
        </w:rPr>
        <w:t xml:space="preserve"> допуску до участі в Доборі.</w:t>
      </w:r>
    </w:p>
    <w:p w14:paraId="5FABA20C" w14:textId="77777777" w:rsidR="00323B30" w:rsidRPr="00690F5C" w:rsidRDefault="00323B30"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shd w:val="clear" w:color="auto" w:fill="FFFFFF"/>
        </w:rPr>
        <w:lastRenderedPageBreak/>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56747CC0" w14:textId="77777777" w:rsidR="004A0C97" w:rsidRPr="00690F5C" w:rsidRDefault="003B20F8" w:rsidP="00690F5C">
      <w:pPr>
        <w:pBdr>
          <w:top w:val="nil"/>
          <w:left w:val="nil"/>
          <w:bottom w:val="nil"/>
          <w:right w:val="nil"/>
          <w:between w:val="nil"/>
        </w:pBdr>
        <w:spacing w:line="240" w:lineRule="auto"/>
        <w:ind w:leftChars="0" w:left="0" w:firstLineChars="271" w:firstLine="705"/>
        <w:jc w:val="both"/>
        <w:rPr>
          <w:sz w:val="26"/>
          <w:szCs w:val="26"/>
        </w:rPr>
      </w:pPr>
      <w:r w:rsidRPr="003B20F8">
        <w:rPr>
          <w:sz w:val="26"/>
          <w:szCs w:val="26"/>
        </w:rPr>
        <w:t xml:space="preserve">Керуючись статтями 69–73, 93, 101 Закону України «Про судоустрій і статус суддів», </w:t>
      </w:r>
      <w:r w:rsidR="00A36C1D" w:rsidRPr="00690F5C">
        <w:rPr>
          <w:sz w:val="26"/>
          <w:szCs w:val="26"/>
          <w:shd w:val="clear" w:color="auto" w:fill="FFFFFF"/>
        </w:rPr>
        <w:t>Вища кваліфікаційна комісія суддів України</w:t>
      </w:r>
      <w:r w:rsidRPr="003B20F8">
        <w:rPr>
          <w:sz w:val="26"/>
          <w:szCs w:val="26"/>
        </w:rPr>
        <w:t xml:space="preserve"> одноголосно</w:t>
      </w:r>
    </w:p>
    <w:p w14:paraId="4DE2BC26" w14:textId="77777777" w:rsidR="004A0C97" w:rsidRPr="00C22B51" w:rsidRDefault="004A0C97" w:rsidP="00C22B51">
      <w:pPr>
        <w:pBdr>
          <w:top w:val="nil"/>
          <w:left w:val="nil"/>
          <w:bottom w:val="nil"/>
          <w:right w:val="nil"/>
          <w:between w:val="nil"/>
        </w:pBdr>
        <w:spacing w:line="240" w:lineRule="auto"/>
        <w:ind w:leftChars="0" w:left="1" w:firstLineChars="272" w:firstLine="707"/>
        <w:jc w:val="both"/>
        <w:rPr>
          <w:sz w:val="26"/>
          <w:szCs w:val="26"/>
        </w:rPr>
      </w:pPr>
    </w:p>
    <w:p w14:paraId="0E58D4F3" w14:textId="77777777" w:rsidR="00973856" w:rsidRPr="00C22B51" w:rsidRDefault="007C4E9C" w:rsidP="00C22B51">
      <w:pPr>
        <w:pBdr>
          <w:top w:val="nil"/>
          <w:left w:val="nil"/>
          <w:bottom w:val="nil"/>
          <w:right w:val="nil"/>
          <w:between w:val="nil"/>
        </w:pBdr>
        <w:spacing w:line="240" w:lineRule="auto"/>
        <w:ind w:left="1" w:hanging="3"/>
        <w:jc w:val="center"/>
        <w:rPr>
          <w:sz w:val="26"/>
          <w:szCs w:val="26"/>
        </w:rPr>
      </w:pPr>
      <w:r w:rsidRPr="00C22B51">
        <w:rPr>
          <w:sz w:val="26"/>
          <w:szCs w:val="26"/>
        </w:rPr>
        <w:t>вирішила:</w:t>
      </w:r>
    </w:p>
    <w:p w14:paraId="00EE2B46" w14:textId="77777777" w:rsidR="00973856" w:rsidRPr="00C22B51" w:rsidRDefault="00973856" w:rsidP="00C22B51">
      <w:pPr>
        <w:pBdr>
          <w:top w:val="nil"/>
          <w:left w:val="nil"/>
          <w:bottom w:val="nil"/>
          <w:right w:val="nil"/>
          <w:between w:val="nil"/>
        </w:pBdr>
        <w:spacing w:line="240" w:lineRule="auto"/>
        <w:ind w:left="1" w:hanging="3"/>
        <w:jc w:val="both"/>
        <w:rPr>
          <w:sz w:val="26"/>
          <w:szCs w:val="26"/>
        </w:rPr>
      </w:pPr>
    </w:p>
    <w:p w14:paraId="4BFECA5C" w14:textId="77777777" w:rsidR="00973856" w:rsidRPr="00C22B51" w:rsidRDefault="00EA1593" w:rsidP="00C22B51">
      <w:pPr>
        <w:pStyle w:val="af2"/>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7C5D03">
        <w:rPr>
          <w:rFonts w:ascii="Times New Roman" w:eastAsia="Times New Roman" w:hAnsi="Times New Roman"/>
          <w:sz w:val="26"/>
          <w:szCs w:val="26"/>
          <w:shd w:val="clear" w:color="auto" w:fill="FFFFFF"/>
          <w:lang w:eastAsia="ar-SA"/>
        </w:rPr>
        <w:t xml:space="preserve">відмовити </w:t>
      </w:r>
      <w:proofErr w:type="spellStart"/>
      <w:r w:rsidR="007C5D03" w:rsidRPr="007C5D03">
        <w:rPr>
          <w:rFonts w:ascii="Times New Roman" w:eastAsia="Times New Roman" w:hAnsi="Times New Roman"/>
          <w:sz w:val="26"/>
          <w:szCs w:val="26"/>
          <w:shd w:val="clear" w:color="auto" w:fill="FFFFFF"/>
          <w:lang w:eastAsia="ar-SA"/>
        </w:rPr>
        <w:t>Шимін</w:t>
      </w:r>
      <w:r w:rsidR="007C5D03">
        <w:rPr>
          <w:rFonts w:ascii="Times New Roman" w:eastAsia="Times New Roman" w:hAnsi="Times New Roman"/>
          <w:sz w:val="26"/>
          <w:szCs w:val="26"/>
          <w:shd w:val="clear" w:color="auto" w:fill="FFFFFF"/>
          <w:lang w:eastAsia="ar-SA"/>
        </w:rPr>
        <w:t>ій</w:t>
      </w:r>
      <w:proofErr w:type="spellEnd"/>
      <w:r w:rsidR="007C5D03" w:rsidRPr="007C5D03">
        <w:rPr>
          <w:rFonts w:ascii="Times New Roman" w:eastAsia="Times New Roman" w:hAnsi="Times New Roman"/>
          <w:sz w:val="26"/>
          <w:szCs w:val="26"/>
          <w:shd w:val="clear" w:color="auto" w:fill="FFFFFF"/>
          <w:lang w:eastAsia="ar-SA"/>
        </w:rPr>
        <w:t xml:space="preserve"> Мирослав</w:t>
      </w:r>
      <w:r w:rsidR="007C5D03">
        <w:rPr>
          <w:rFonts w:ascii="Times New Roman" w:eastAsia="Times New Roman" w:hAnsi="Times New Roman"/>
          <w:sz w:val="26"/>
          <w:szCs w:val="26"/>
          <w:shd w:val="clear" w:color="auto" w:fill="FFFFFF"/>
          <w:lang w:eastAsia="ar-SA"/>
        </w:rPr>
        <w:t>і</w:t>
      </w:r>
      <w:r w:rsidR="007C5D03" w:rsidRPr="007C5D03">
        <w:rPr>
          <w:rFonts w:ascii="Times New Roman" w:eastAsia="Times New Roman" w:hAnsi="Times New Roman"/>
          <w:sz w:val="26"/>
          <w:szCs w:val="26"/>
          <w:shd w:val="clear" w:color="auto" w:fill="FFFFFF"/>
          <w:lang w:eastAsia="ar-SA"/>
        </w:rPr>
        <w:t xml:space="preserve"> Тимофіївн</w:t>
      </w:r>
      <w:r w:rsidR="007C5D03">
        <w:rPr>
          <w:rFonts w:ascii="Times New Roman" w:eastAsia="Times New Roman" w:hAnsi="Times New Roman"/>
          <w:sz w:val="26"/>
          <w:szCs w:val="26"/>
          <w:shd w:val="clear" w:color="auto" w:fill="FFFFFF"/>
          <w:lang w:eastAsia="ar-SA"/>
        </w:rPr>
        <w:t>і</w:t>
      </w:r>
      <w:r w:rsidR="007C5D03" w:rsidRPr="007C5D03">
        <w:rPr>
          <w:rFonts w:ascii="Times New Roman" w:eastAsia="Times New Roman" w:hAnsi="Times New Roman"/>
          <w:sz w:val="26"/>
          <w:szCs w:val="26"/>
          <w:shd w:val="clear" w:color="auto" w:fill="FFFFFF"/>
          <w:lang w:eastAsia="ar-SA"/>
        </w:rPr>
        <w:t xml:space="preserve"> </w:t>
      </w:r>
      <w:r w:rsidRPr="0063688C">
        <w:rPr>
          <w:rFonts w:ascii="Times New Roman" w:eastAsia="Times New Roman" w:hAnsi="Times New Roman"/>
          <w:sz w:val="26"/>
          <w:szCs w:val="26"/>
          <w:shd w:val="clear" w:color="auto" w:fill="FFFFFF"/>
          <w:lang w:eastAsia="ar-SA"/>
        </w:rPr>
        <w:t>у</w:t>
      </w:r>
      <w:r w:rsidRPr="007C5D03">
        <w:rPr>
          <w:rFonts w:ascii="Times New Roman" w:eastAsia="Times New Roman" w:hAnsi="Times New Roman"/>
          <w:sz w:val="26"/>
          <w:szCs w:val="26"/>
          <w:shd w:val="clear" w:color="auto" w:fill="FFFFFF"/>
          <w:lang w:eastAsia="ar-SA"/>
        </w:rPr>
        <w:t xml:space="preserve"> д</w:t>
      </w:r>
      <w:r w:rsidR="001C7107" w:rsidRPr="007C5D03">
        <w:rPr>
          <w:rFonts w:ascii="Times New Roman" w:eastAsia="Times New Roman" w:hAnsi="Times New Roman"/>
          <w:sz w:val="26"/>
          <w:szCs w:val="26"/>
          <w:shd w:val="clear" w:color="auto" w:fill="FFFFFF"/>
          <w:lang w:eastAsia="ar-SA"/>
        </w:rPr>
        <w:t>опус</w:t>
      </w:r>
      <w:r w:rsidRPr="007C5D03">
        <w:rPr>
          <w:rFonts w:ascii="Times New Roman" w:eastAsia="Times New Roman" w:hAnsi="Times New Roman"/>
          <w:sz w:val="26"/>
          <w:szCs w:val="26"/>
          <w:shd w:val="clear" w:color="auto" w:fill="FFFFFF"/>
          <w:lang w:eastAsia="ar-SA"/>
        </w:rPr>
        <w:t>ку</w:t>
      </w:r>
      <w:r w:rsidR="001C7107" w:rsidRPr="00C22B51">
        <w:rPr>
          <w:rFonts w:ascii="Times New Roman" w:hAnsi="Times New Roman"/>
          <w:sz w:val="26"/>
          <w:szCs w:val="26"/>
        </w:rPr>
        <w:t xml:space="preserve"> </w:t>
      </w:r>
      <w:r w:rsidR="00A0455F" w:rsidRPr="00C22B51">
        <w:rPr>
          <w:rFonts w:ascii="Times New Roman" w:hAnsi="Times New Roman"/>
          <w:sz w:val="26"/>
          <w:szCs w:val="26"/>
        </w:rPr>
        <w:t xml:space="preserve">до участі </w:t>
      </w:r>
      <w:r w:rsidR="00C215CE" w:rsidRPr="00C22B51">
        <w:rPr>
          <w:rFonts w:ascii="Times New Roman" w:hAnsi="Times New Roman"/>
          <w:sz w:val="26"/>
          <w:szCs w:val="26"/>
        </w:rPr>
        <w:t>в</w:t>
      </w:r>
      <w:r w:rsidR="00A0455F" w:rsidRPr="00C22B51">
        <w:rPr>
          <w:rFonts w:ascii="Times New Roman" w:hAnsi="Times New Roman"/>
          <w:sz w:val="26"/>
          <w:szCs w:val="26"/>
        </w:rPr>
        <w:t xml:space="preserve"> доборі </w:t>
      </w:r>
      <w:r w:rsidR="00A0455F" w:rsidRPr="00C22B51">
        <w:rPr>
          <w:rFonts w:ascii="Times New Roman" w:hAnsi="Times New Roman"/>
          <w:sz w:val="26"/>
          <w:szCs w:val="26"/>
          <w:shd w:val="clear" w:color="auto" w:fill="FFFFFF"/>
        </w:rPr>
        <w:t>на посаду судді місцевого суду</w:t>
      </w:r>
      <w:r w:rsidR="00A0455F" w:rsidRPr="00C22B51">
        <w:rPr>
          <w:rFonts w:ascii="Times New Roman" w:hAnsi="Times New Roman"/>
          <w:sz w:val="26"/>
          <w:szCs w:val="26"/>
        </w:rPr>
        <w:t xml:space="preserve">, оголошеному рішенням Вищої кваліфікаційної комісії суддів України від </w:t>
      </w:r>
      <w:r w:rsidR="00A0455F" w:rsidRPr="00C22B51">
        <w:rPr>
          <w:rFonts w:ascii="Times New Roman" w:hAnsi="Times New Roman"/>
          <w:sz w:val="26"/>
          <w:szCs w:val="26"/>
          <w:shd w:val="clear" w:color="auto" w:fill="FFFFFF"/>
        </w:rPr>
        <w:t>11 грудня 2024 року №</w:t>
      </w:r>
      <w:r w:rsidR="00153858" w:rsidRPr="00C22B51">
        <w:rPr>
          <w:rFonts w:ascii="Times New Roman" w:hAnsi="Times New Roman"/>
          <w:sz w:val="26"/>
          <w:szCs w:val="26"/>
          <w:shd w:val="clear" w:color="auto" w:fill="FFFFFF"/>
        </w:rPr>
        <w:t xml:space="preserve"> </w:t>
      </w:r>
      <w:r w:rsidR="00A0455F" w:rsidRPr="00C22B51">
        <w:rPr>
          <w:rFonts w:ascii="Times New Roman" w:hAnsi="Times New Roman"/>
          <w:sz w:val="26"/>
          <w:szCs w:val="26"/>
          <w:shd w:val="clear" w:color="auto" w:fill="FFFFFF"/>
        </w:rPr>
        <w:t>366/зп-24</w:t>
      </w:r>
      <w:r w:rsidR="00004A8B" w:rsidRPr="00C22B51">
        <w:rPr>
          <w:rFonts w:ascii="Times New Roman" w:hAnsi="Times New Roman"/>
          <w:sz w:val="26"/>
          <w:szCs w:val="26"/>
        </w:rPr>
        <w:t>.</w:t>
      </w:r>
    </w:p>
    <w:p w14:paraId="08A61287" w14:textId="77777777" w:rsidR="00A0455F" w:rsidRPr="00C22B51" w:rsidRDefault="00A0455F" w:rsidP="00C22B51">
      <w:pPr>
        <w:pBdr>
          <w:top w:val="nil"/>
          <w:left w:val="nil"/>
          <w:bottom w:val="nil"/>
          <w:right w:val="nil"/>
          <w:between w:val="nil"/>
        </w:pBdr>
        <w:spacing w:line="240" w:lineRule="auto"/>
        <w:ind w:left="1" w:hanging="3"/>
        <w:jc w:val="both"/>
        <w:rPr>
          <w:sz w:val="26"/>
          <w:szCs w:val="26"/>
        </w:rPr>
      </w:pPr>
    </w:p>
    <w:p w14:paraId="66218195" w14:textId="77777777" w:rsidR="00973856" w:rsidRPr="00C22B51" w:rsidRDefault="00973856" w:rsidP="00C22B51">
      <w:pPr>
        <w:pBdr>
          <w:top w:val="nil"/>
          <w:left w:val="nil"/>
          <w:bottom w:val="nil"/>
          <w:right w:val="nil"/>
          <w:between w:val="nil"/>
        </w:pBdr>
        <w:spacing w:line="240" w:lineRule="auto"/>
        <w:ind w:left="1" w:hanging="3"/>
        <w:jc w:val="both"/>
        <w:rPr>
          <w:sz w:val="26"/>
          <w:szCs w:val="26"/>
        </w:rPr>
      </w:pPr>
    </w:p>
    <w:p w14:paraId="2E752857" w14:textId="77777777" w:rsidR="009C5A2F" w:rsidRPr="00AB3671" w:rsidRDefault="009C5A2F" w:rsidP="009C5A2F">
      <w:pPr>
        <w:pBdr>
          <w:top w:val="nil"/>
          <w:left w:val="nil"/>
          <w:bottom w:val="nil"/>
          <w:right w:val="nil"/>
          <w:between w:val="nil"/>
        </w:pBdr>
        <w:spacing w:line="240" w:lineRule="auto"/>
        <w:ind w:left="1" w:hanging="3"/>
        <w:jc w:val="both"/>
        <w:rPr>
          <w:sz w:val="26"/>
          <w:szCs w:val="26"/>
        </w:rPr>
      </w:pPr>
      <w:r w:rsidRPr="00AB3671">
        <w:rPr>
          <w:sz w:val="26"/>
          <w:szCs w:val="26"/>
        </w:rPr>
        <w:t>Головуючий</w:t>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Pr>
          <w:sz w:val="26"/>
          <w:szCs w:val="26"/>
        </w:rPr>
        <w:t xml:space="preserve">   </w:t>
      </w:r>
      <w:r w:rsidRPr="00AB3671">
        <w:rPr>
          <w:sz w:val="26"/>
          <w:szCs w:val="26"/>
        </w:rPr>
        <w:t>Сергій ЧУМАК</w:t>
      </w:r>
    </w:p>
    <w:p w14:paraId="5F996B11" w14:textId="77777777" w:rsidR="009C5A2F" w:rsidRPr="00AB3671" w:rsidRDefault="009C5A2F" w:rsidP="009C5A2F">
      <w:pPr>
        <w:pBdr>
          <w:top w:val="nil"/>
          <w:left w:val="nil"/>
          <w:bottom w:val="nil"/>
          <w:right w:val="nil"/>
          <w:between w:val="nil"/>
        </w:pBdr>
        <w:spacing w:line="240" w:lineRule="auto"/>
        <w:ind w:left="1" w:hanging="3"/>
        <w:jc w:val="both"/>
        <w:rPr>
          <w:sz w:val="26"/>
          <w:szCs w:val="26"/>
        </w:rPr>
      </w:pPr>
      <w:r w:rsidRPr="00AB3671">
        <w:rPr>
          <w:sz w:val="26"/>
          <w:szCs w:val="26"/>
        </w:rPr>
        <w:tab/>
      </w:r>
    </w:p>
    <w:p w14:paraId="1BAD66BC" w14:textId="77777777" w:rsidR="009C5A2F" w:rsidRPr="00AB3671" w:rsidRDefault="009C5A2F" w:rsidP="009C5A2F">
      <w:pPr>
        <w:pBdr>
          <w:top w:val="nil"/>
          <w:left w:val="nil"/>
          <w:bottom w:val="nil"/>
          <w:right w:val="nil"/>
          <w:between w:val="nil"/>
        </w:pBdr>
        <w:spacing w:line="240" w:lineRule="auto"/>
        <w:ind w:left="1" w:hanging="3"/>
        <w:jc w:val="both"/>
        <w:rPr>
          <w:sz w:val="26"/>
          <w:szCs w:val="26"/>
        </w:rPr>
      </w:pPr>
      <w:r w:rsidRPr="00AB3671">
        <w:rPr>
          <w:sz w:val="26"/>
          <w:szCs w:val="26"/>
        </w:rPr>
        <w:t>Члени Комісії:</w:t>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Pr>
          <w:sz w:val="26"/>
          <w:szCs w:val="26"/>
        </w:rPr>
        <w:t xml:space="preserve">   </w:t>
      </w:r>
      <w:r w:rsidRPr="00AB3671">
        <w:rPr>
          <w:sz w:val="26"/>
          <w:szCs w:val="26"/>
        </w:rPr>
        <w:t>Андрій ПАСІЧНИК</w:t>
      </w:r>
    </w:p>
    <w:p w14:paraId="664B01ED" w14:textId="77777777" w:rsidR="009C5A2F" w:rsidRPr="00AB3671" w:rsidRDefault="009C5A2F" w:rsidP="009C5A2F">
      <w:pPr>
        <w:pBdr>
          <w:top w:val="nil"/>
          <w:left w:val="nil"/>
          <w:bottom w:val="nil"/>
          <w:right w:val="nil"/>
          <w:between w:val="nil"/>
        </w:pBdr>
        <w:spacing w:line="240" w:lineRule="auto"/>
        <w:ind w:left="1" w:hanging="3"/>
        <w:jc w:val="both"/>
        <w:rPr>
          <w:sz w:val="26"/>
          <w:szCs w:val="26"/>
        </w:rPr>
      </w:pPr>
    </w:p>
    <w:p w14:paraId="6695D3D0" w14:textId="77777777" w:rsidR="009C5A2F" w:rsidRPr="00C22B51" w:rsidRDefault="009C5A2F" w:rsidP="009C5A2F">
      <w:pPr>
        <w:pBdr>
          <w:top w:val="nil"/>
          <w:left w:val="nil"/>
          <w:bottom w:val="nil"/>
          <w:right w:val="nil"/>
          <w:between w:val="nil"/>
        </w:pBdr>
        <w:spacing w:line="240" w:lineRule="auto"/>
        <w:ind w:left="1" w:hanging="3"/>
        <w:jc w:val="both"/>
        <w:rPr>
          <w:sz w:val="26"/>
          <w:szCs w:val="26"/>
        </w:rPr>
      </w:pP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sidRPr="00AB3671">
        <w:rPr>
          <w:sz w:val="26"/>
          <w:szCs w:val="26"/>
        </w:rPr>
        <w:tab/>
      </w:r>
      <w:r>
        <w:rPr>
          <w:sz w:val="26"/>
          <w:szCs w:val="26"/>
        </w:rPr>
        <w:t xml:space="preserve">   </w:t>
      </w:r>
      <w:r w:rsidRPr="00AB3671">
        <w:rPr>
          <w:sz w:val="26"/>
          <w:szCs w:val="26"/>
        </w:rPr>
        <w:t>Роман САБОДАШ</w:t>
      </w:r>
    </w:p>
    <w:sectPr w:rsidR="009C5A2F" w:rsidRPr="00C22B51" w:rsidSect="00593B8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1B7F7" w14:textId="77777777" w:rsidR="00D6114D" w:rsidRDefault="00D6114D">
      <w:pPr>
        <w:spacing w:line="240" w:lineRule="auto"/>
        <w:ind w:left="0" w:hanging="2"/>
      </w:pPr>
      <w:r>
        <w:separator/>
      </w:r>
    </w:p>
  </w:endnote>
  <w:endnote w:type="continuationSeparator" w:id="0">
    <w:p w14:paraId="6426ADC2" w14:textId="77777777" w:rsidR="00D6114D" w:rsidRDefault="00D6114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B7138" w14:textId="77777777" w:rsidR="001F654D" w:rsidRDefault="001F654D">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AAF13" w14:textId="77777777" w:rsidR="00973856" w:rsidRPr="00123ED8" w:rsidRDefault="00973856" w:rsidP="00123ED8">
    <w:pPr>
      <w:pStyle w:val="ab"/>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85883" w14:textId="77777777" w:rsidR="001F654D" w:rsidRDefault="001F654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62A71" w14:textId="77777777" w:rsidR="00D6114D" w:rsidRDefault="00D6114D">
      <w:pPr>
        <w:spacing w:line="240" w:lineRule="auto"/>
        <w:ind w:left="0" w:hanging="2"/>
      </w:pPr>
      <w:r>
        <w:separator/>
      </w:r>
    </w:p>
  </w:footnote>
  <w:footnote w:type="continuationSeparator" w:id="0">
    <w:p w14:paraId="3DFC784B" w14:textId="77777777" w:rsidR="00D6114D" w:rsidRDefault="00D6114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51F80" w14:textId="77777777" w:rsidR="001F654D" w:rsidRDefault="001F654D">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35886" w14:textId="77777777"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C4514B">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23B91" w14:textId="77777777" w:rsidR="001F654D" w:rsidRDefault="001F654D">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56"/>
    <w:rsid w:val="00004A8B"/>
    <w:rsid w:val="00042CFF"/>
    <w:rsid w:val="00053B9E"/>
    <w:rsid w:val="00056DC9"/>
    <w:rsid w:val="00066E7F"/>
    <w:rsid w:val="0007087E"/>
    <w:rsid w:val="000820C3"/>
    <w:rsid w:val="00084533"/>
    <w:rsid w:val="000C77D1"/>
    <w:rsid w:val="00123ED8"/>
    <w:rsid w:val="00132AEC"/>
    <w:rsid w:val="001407FC"/>
    <w:rsid w:val="00147E2E"/>
    <w:rsid w:val="00153858"/>
    <w:rsid w:val="00160500"/>
    <w:rsid w:val="001745BC"/>
    <w:rsid w:val="0017586F"/>
    <w:rsid w:val="00194B0F"/>
    <w:rsid w:val="001B4A01"/>
    <w:rsid w:val="001C7107"/>
    <w:rsid w:val="001D2504"/>
    <w:rsid w:val="001F654D"/>
    <w:rsid w:val="00215395"/>
    <w:rsid w:val="0023679E"/>
    <w:rsid w:val="00251FD9"/>
    <w:rsid w:val="00292FE6"/>
    <w:rsid w:val="00294FBD"/>
    <w:rsid w:val="00295C57"/>
    <w:rsid w:val="002A4CC2"/>
    <w:rsid w:val="002A7C44"/>
    <w:rsid w:val="002B60E3"/>
    <w:rsid w:val="002C3951"/>
    <w:rsid w:val="002D550F"/>
    <w:rsid w:val="00314313"/>
    <w:rsid w:val="00323B30"/>
    <w:rsid w:val="00334221"/>
    <w:rsid w:val="0034428A"/>
    <w:rsid w:val="00381465"/>
    <w:rsid w:val="00397993"/>
    <w:rsid w:val="003A0521"/>
    <w:rsid w:val="003B20F8"/>
    <w:rsid w:val="003B5AAB"/>
    <w:rsid w:val="003B61B9"/>
    <w:rsid w:val="003E17F0"/>
    <w:rsid w:val="0042707B"/>
    <w:rsid w:val="004A0C97"/>
    <w:rsid w:val="004B6476"/>
    <w:rsid w:val="004F5BBC"/>
    <w:rsid w:val="004F6655"/>
    <w:rsid w:val="00506B5C"/>
    <w:rsid w:val="00513F2B"/>
    <w:rsid w:val="00514B49"/>
    <w:rsid w:val="00515D4F"/>
    <w:rsid w:val="00534335"/>
    <w:rsid w:val="00542035"/>
    <w:rsid w:val="0055006B"/>
    <w:rsid w:val="00553FBC"/>
    <w:rsid w:val="00592B5A"/>
    <w:rsid w:val="00593B81"/>
    <w:rsid w:val="005A6B09"/>
    <w:rsid w:val="005F2D2E"/>
    <w:rsid w:val="005F737A"/>
    <w:rsid w:val="00601131"/>
    <w:rsid w:val="0063688C"/>
    <w:rsid w:val="00637D0C"/>
    <w:rsid w:val="006539C1"/>
    <w:rsid w:val="00660B18"/>
    <w:rsid w:val="00666941"/>
    <w:rsid w:val="00670FBA"/>
    <w:rsid w:val="00672BF9"/>
    <w:rsid w:val="00677DB1"/>
    <w:rsid w:val="00690F5C"/>
    <w:rsid w:val="006B522F"/>
    <w:rsid w:val="006C3297"/>
    <w:rsid w:val="006C3DBB"/>
    <w:rsid w:val="007067BD"/>
    <w:rsid w:val="00733C6F"/>
    <w:rsid w:val="00734359"/>
    <w:rsid w:val="00747828"/>
    <w:rsid w:val="007570E5"/>
    <w:rsid w:val="00764782"/>
    <w:rsid w:val="00767526"/>
    <w:rsid w:val="0076781B"/>
    <w:rsid w:val="00781A4C"/>
    <w:rsid w:val="007A4DC7"/>
    <w:rsid w:val="007C3E26"/>
    <w:rsid w:val="007C4E9C"/>
    <w:rsid w:val="007C5D03"/>
    <w:rsid w:val="007D01DF"/>
    <w:rsid w:val="007F0A90"/>
    <w:rsid w:val="00803EC2"/>
    <w:rsid w:val="008329D0"/>
    <w:rsid w:val="0084374D"/>
    <w:rsid w:val="00881831"/>
    <w:rsid w:val="008970B9"/>
    <w:rsid w:val="008A6D3E"/>
    <w:rsid w:val="008D3B89"/>
    <w:rsid w:val="008F580C"/>
    <w:rsid w:val="00903D00"/>
    <w:rsid w:val="00922A66"/>
    <w:rsid w:val="00934417"/>
    <w:rsid w:val="00950BF8"/>
    <w:rsid w:val="009666C7"/>
    <w:rsid w:val="00970AE0"/>
    <w:rsid w:val="00973856"/>
    <w:rsid w:val="00977DB8"/>
    <w:rsid w:val="0098003A"/>
    <w:rsid w:val="00986909"/>
    <w:rsid w:val="009A5EF0"/>
    <w:rsid w:val="009B3B70"/>
    <w:rsid w:val="009C5A2F"/>
    <w:rsid w:val="009F2859"/>
    <w:rsid w:val="009F5DEF"/>
    <w:rsid w:val="00A02C08"/>
    <w:rsid w:val="00A0455F"/>
    <w:rsid w:val="00A17094"/>
    <w:rsid w:val="00A33AE9"/>
    <w:rsid w:val="00A36C1D"/>
    <w:rsid w:val="00A72680"/>
    <w:rsid w:val="00A75E85"/>
    <w:rsid w:val="00A83443"/>
    <w:rsid w:val="00AC7CD9"/>
    <w:rsid w:val="00AD606C"/>
    <w:rsid w:val="00AE15BA"/>
    <w:rsid w:val="00AE1783"/>
    <w:rsid w:val="00B025D1"/>
    <w:rsid w:val="00B05F96"/>
    <w:rsid w:val="00B43AE6"/>
    <w:rsid w:val="00B551EA"/>
    <w:rsid w:val="00B5578B"/>
    <w:rsid w:val="00B764AD"/>
    <w:rsid w:val="00BA611B"/>
    <w:rsid w:val="00BA76DA"/>
    <w:rsid w:val="00BC5E59"/>
    <w:rsid w:val="00BE1E72"/>
    <w:rsid w:val="00BF2815"/>
    <w:rsid w:val="00C17FB9"/>
    <w:rsid w:val="00C215CE"/>
    <w:rsid w:val="00C22B51"/>
    <w:rsid w:val="00C24DB4"/>
    <w:rsid w:val="00C310F1"/>
    <w:rsid w:val="00C4511C"/>
    <w:rsid w:val="00C4514B"/>
    <w:rsid w:val="00C55C9B"/>
    <w:rsid w:val="00C6541F"/>
    <w:rsid w:val="00C96202"/>
    <w:rsid w:val="00CA3CE9"/>
    <w:rsid w:val="00CA5903"/>
    <w:rsid w:val="00CC5E1A"/>
    <w:rsid w:val="00CE665F"/>
    <w:rsid w:val="00D111EF"/>
    <w:rsid w:val="00D301A2"/>
    <w:rsid w:val="00D33FAC"/>
    <w:rsid w:val="00D562BA"/>
    <w:rsid w:val="00D6114D"/>
    <w:rsid w:val="00D6539D"/>
    <w:rsid w:val="00D80846"/>
    <w:rsid w:val="00D80F7D"/>
    <w:rsid w:val="00D8310F"/>
    <w:rsid w:val="00DB31F2"/>
    <w:rsid w:val="00DE2596"/>
    <w:rsid w:val="00DE3150"/>
    <w:rsid w:val="00DE7A72"/>
    <w:rsid w:val="00DF5ECE"/>
    <w:rsid w:val="00E535E8"/>
    <w:rsid w:val="00E547D7"/>
    <w:rsid w:val="00E61BA9"/>
    <w:rsid w:val="00E6771E"/>
    <w:rsid w:val="00E72FF3"/>
    <w:rsid w:val="00E75107"/>
    <w:rsid w:val="00E80C7B"/>
    <w:rsid w:val="00E937DE"/>
    <w:rsid w:val="00EA1593"/>
    <w:rsid w:val="00EA5B00"/>
    <w:rsid w:val="00EB0E8B"/>
    <w:rsid w:val="00EB65A7"/>
    <w:rsid w:val="00ED7AFF"/>
    <w:rsid w:val="00EE6706"/>
    <w:rsid w:val="00F2479C"/>
    <w:rsid w:val="00F720E0"/>
    <w:rsid w:val="00F824E1"/>
    <w:rsid w:val="00F87218"/>
    <w:rsid w:val="00FB4BD7"/>
    <w:rsid w:val="00FF4EBA"/>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14C8"/>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3">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732A6AD7-FEC9-4E5C-8C05-B746934572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894</Words>
  <Characters>5101</Characters>
  <Application>Microsoft Office Word</Application>
  <DocSecurity>0</DocSecurity>
  <Lines>42</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2025-04-30T10:48:00Z</cp:lastPrinted>
  <dcterms:created xsi:type="dcterms:W3CDTF">2025-05-18T19:42:00Z</dcterms:created>
  <dcterms:modified xsi:type="dcterms:W3CDTF">2025-05-18T19:42:00Z</dcterms:modified>
</cp:coreProperties>
</file>