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41B39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1D0F41E" wp14:editId="5831F611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53F3D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DF7BF5C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1474E8B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64117CF7" w14:textId="77777777" w:rsidR="00973856" w:rsidRPr="00C22B51" w:rsidRDefault="00EC7125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0DF3F59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63204304" w14:textId="32BBAE92" w:rsidR="00973856" w:rsidRPr="00700042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700042">
        <w:rPr>
          <w:sz w:val="26"/>
          <w:szCs w:val="26"/>
          <w:u w:val="single"/>
        </w:rPr>
        <w:t>469/дс-25</w:t>
      </w:r>
    </w:p>
    <w:p w14:paraId="67B7E90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1572FBE6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Вища кваліфікаційна комісія суддів України у складі колегії:</w:t>
      </w:r>
    </w:p>
    <w:p w14:paraId="773657EE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AD83A32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головуючого – Сергія ЧУМАКА,</w:t>
      </w:r>
    </w:p>
    <w:p w14:paraId="543D905E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8D837E5" w14:textId="77777777" w:rsidR="004F1D72" w:rsidRDefault="004F1D72" w:rsidP="004F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членів Комісії: Андрія ПАСІЧНИКА, Романа САБОДАША (доповідач),</w:t>
      </w:r>
    </w:p>
    <w:p w14:paraId="79E52C8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7EAE753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BE2DCA">
        <w:rPr>
          <w:sz w:val="26"/>
          <w:szCs w:val="26"/>
        </w:rPr>
        <w:t>Микитюка Ігор</w:t>
      </w:r>
      <w:r w:rsidR="00CA606C">
        <w:rPr>
          <w:sz w:val="26"/>
          <w:szCs w:val="26"/>
        </w:rPr>
        <w:t>я</w:t>
      </w:r>
      <w:r w:rsidR="00BE2DCA">
        <w:rPr>
          <w:sz w:val="26"/>
          <w:szCs w:val="26"/>
        </w:rPr>
        <w:t xml:space="preserve"> Юрійовича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39B94DB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14E75B4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0AA52E3A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7DEB1778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3EF063D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732CB5B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62B027E4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1AF73AC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995F1A8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86470F5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304E1FF3" w14:textId="536AEE3B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CA606C">
        <w:rPr>
          <w:sz w:val="26"/>
          <w:szCs w:val="26"/>
          <w:shd w:val="clear" w:color="auto" w:fill="FFFFFF"/>
        </w:rPr>
        <w:t>28</w:t>
      </w:r>
      <w:r w:rsidR="00700042">
        <w:rPr>
          <w:sz w:val="26"/>
          <w:szCs w:val="26"/>
          <w:shd w:val="clear" w:color="auto" w:fill="FFFFFF"/>
        </w:rPr>
        <w:t xml:space="preserve"> </w:t>
      </w:r>
      <w:r w:rsidR="00CA606C" w:rsidRPr="00690F5C">
        <w:rPr>
          <w:sz w:val="26"/>
          <w:szCs w:val="26"/>
          <w:shd w:val="clear" w:color="auto" w:fill="FFFFFF"/>
        </w:rPr>
        <w:t>березня 2025 року</w:t>
      </w:r>
      <w:r w:rsidR="00CA606C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CA606C">
        <w:rPr>
          <w:sz w:val="26"/>
          <w:szCs w:val="26"/>
          <w:shd w:val="clear" w:color="auto" w:fill="FFFFFF"/>
        </w:rPr>
        <w:t xml:space="preserve">а </w:t>
      </w:r>
      <w:r w:rsidR="00CA606C">
        <w:rPr>
          <w:sz w:val="26"/>
          <w:szCs w:val="26"/>
        </w:rPr>
        <w:t>Микитюка Ігоря Юрійовича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402C88EA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078D5878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CA606C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5487B6CE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4F1D72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757CD40D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CA606C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BE2DCA">
        <w:rPr>
          <w:sz w:val="26"/>
          <w:szCs w:val="26"/>
        </w:rPr>
        <w:t>Микитюком Ігорем Юрійовичем</w:t>
      </w:r>
      <w:r w:rsidR="00CA606C">
        <w:rPr>
          <w:sz w:val="26"/>
          <w:szCs w:val="26"/>
        </w:rPr>
        <w:t>,</w:t>
      </w:r>
      <w:r w:rsidR="00BE2DCA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CA606C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CA606C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CA606C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50DFE10C" w14:textId="77777777" w:rsidR="001F64E3" w:rsidRDefault="001F64E3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1F64E3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CA606C">
        <w:rPr>
          <w:sz w:val="26"/>
          <w:szCs w:val="26"/>
        </w:rPr>
        <w:t>веб</w:t>
      </w:r>
      <w:r w:rsidRPr="001F64E3">
        <w:rPr>
          <w:sz w:val="26"/>
          <w:szCs w:val="26"/>
        </w:rPr>
        <w:t>сайту</w:t>
      </w:r>
      <w:proofErr w:type="spellEnd"/>
      <w:r w:rsidRPr="001F64E3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37C9599C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27F7DC1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CA606C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CA606C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00824EA" w14:textId="2E8A475A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BE2DCA">
        <w:rPr>
          <w:sz w:val="26"/>
          <w:szCs w:val="26"/>
        </w:rPr>
        <w:t>Микитюком Ігорем Юрійовичем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700042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437CE9A4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A1C211B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CA606C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142ECB33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62361474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4FBB976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AAD4960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BE2DCA" w:rsidRPr="00BE2DCA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Микитюку Ігор</w:t>
      </w:r>
      <w:r w:rsidR="00CA606C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ю</w:t>
      </w:r>
      <w:r w:rsidR="00BE2DCA" w:rsidRPr="00BE2DCA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 xml:space="preserve"> Юрійовичу</w:t>
      </w:r>
      <w:r w:rsidR="00BE2DCA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14E4CFBB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901E2F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86D1A1C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Головуючий</w:t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EE4473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Сергій ЧУМАК</w:t>
      </w:r>
    </w:p>
    <w:p w14:paraId="1C8F9218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ab/>
      </w:r>
    </w:p>
    <w:p w14:paraId="4AE4681A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Члени Комісії:</w:t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EE4473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Андрій ПАСІЧНИК</w:t>
      </w:r>
    </w:p>
    <w:p w14:paraId="377A8EEE" w14:textId="77777777" w:rsidR="004F1D72" w:rsidRPr="00DF1CBA" w:rsidRDefault="004F1D72" w:rsidP="004F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3C9FFFF" w14:textId="77777777" w:rsidR="004F1D72" w:rsidRPr="00C22B51" w:rsidRDefault="004F1D72" w:rsidP="004F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EE4473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Роман САБОДАШ</w:t>
      </w:r>
    </w:p>
    <w:sectPr w:rsidR="004F1D72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6794E" w14:textId="77777777" w:rsidR="00F770FD" w:rsidRDefault="00F770FD">
      <w:pPr>
        <w:spacing w:line="240" w:lineRule="auto"/>
        <w:ind w:left="0" w:hanging="2"/>
      </w:pPr>
      <w:r>
        <w:separator/>
      </w:r>
    </w:p>
  </w:endnote>
  <w:endnote w:type="continuationSeparator" w:id="0">
    <w:p w14:paraId="0E151DC2" w14:textId="77777777" w:rsidR="00F770FD" w:rsidRDefault="00F770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6E7A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2DA30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14811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9DBD8" w14:textId="77777777" w:rsidR="00F770FD" w:rsidRDefault="00F770FD">
      <w:pPr>
        <w:spacing w:line="240" w:lineRule="auto"/>
        <w:ind w:left="0" w:hanging="2"/>
      </w:pPr>
      <w:r>
        <w:separator/>
      </w:r>
    </w:p>
  </w:footnote>
  <w:footnote w:type="continuationSeparator" w:id="0">
    <w:p w14:paraId="22D9F13F" w14:textId="77777777" w:rsidR="00F770FD" w:rsidRDefault="00F770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BDEA6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0C6F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69E86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4E3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1D72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0042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E2DCA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A606C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C7125"/>
    <w:rsid w:val="00ED7AFF"/>
    <w:rsid w:val="00EE4473"/>
    <w:rsid w:val="00EE6706"/>
    <w:rsid w:val="00F2479C"/>
    <w:rsid w:val="00F720E0"/>
    <w:rsid w:val="00F770FD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904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5033FD8B-FA84-4D38-913D-43AB606F3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2025-05-18T17:06:00Z</dcterms:created>
  <dcterms:modified xsi:type="dcterms:W3CDTF">2025-05-18T17:06:00Z</dcterms:modified>
</cp:coreProperties>
</file>