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F303D0">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Pr>
          <w:rFonts w:ascii="Times New Roman" w:eastAsia="Times New Roman" w:hAnsi="Times New Roman" w:cs="Times New Roman"/>
          <w:sz w:val="24"/>
          <w:szCs w:val="24"/>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sidR="003D6C64">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sidR="003D6C64">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64321C">
        <w:rPr>
          <w:rFonts w:ascii="Times New Roman" w:eastAsia="Times New Roman" w:hAnsi="Times New Roman" w:cs="Times New Roman"/>
          <w:sz w:val="26"/>
          <w:szCs w:val="26"/>
          <w:u w:val="single"/>
        </w:rPr>
        <w:t>111/вс-26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r w:rsidR="00490E0F">
        <w:rPr>
          <w:rFonts w:ascii="Times New Roman" w:eastAsia="Times New Roman" w:hAnsi="Times New Roman" w:cs="Times New Roman"/>
          <w:sz w:val="24"/>
          <w:szCs w:val="24"/>
        </w:rPr>
        <w:t xml:space="preserve"> </w:t>
      </w:r>
      <w:bookmarkStart w:id="1" w:name="_GoBack"/>
      <w:bookmarkEnd w:id="1"/>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4369F8">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4369F8">
        <w:rPr>
          <w:rFonts w:ascii="Times New Roman" w:eastAsia="Times New Roman" w:hAnsi="Times New Roman" w:cs="Times New Roman"/>
          <w:sz w:val="24"/>
          <w:szCs w:val="24"/>
        </w:rPr>
        <w:t xml:space="preserve">Надії КОБЕЦЬКОЇ, Олега КОЛІУША, </w:t>
      </w:r>
      <w:r w:rsidRPr="004369F8">
        <w:rPr>
          <w:rFonts w:ascii="Times New Roman" w:eastAsia="Times New Roman" w:hAnsi="Times New Roman" w:cs="Times New Roman"/>
          <w:sz w:val="24"/>
          <w:szCs w:val="24"/>
        </w:rPr>
        <w:t>Ігоря</w:t>
      </w:r>
      <w:r w:rsidR="009504A7" w:rsidRPr="004369F8">
        <w:rPr>
          <w:rFonts w:ascii="Times New Roman" w:eastAsia="Times New Roman" w:hAnsi="Times New Roman" w:cs="Times New Roman"/>
          <w:sz w:val="24"/>
          <w:szCs w:val="24"/>
        </w:rPr>
        <w:t> </w:t>
      </w:r>
      <w:r w:rsidRPr="004369F8">
        <w:rPr>
          <w:rFonts w:ascii="Times New Roman" w:eastAsia="Times New Roman" w:hAnsi="Times New Roman" w:cs="Times New Roman"/>
          <w:sz w:val="24"/>
          <w:szCs w:val="24"/>
        </w:rPr>
        <w:t>КУШНІРА, Руслана МЕЛЬНИКА, Олексія ОМЕЛЬЯНА</w:t>
      </w:r>
      <w:r w:rsidR="004369F8" w:rsidRPr="004369F8">
        <w:rPr>
          <w:rFonts w:ascii="Times New Roman" w:eastAsia="Times New Roman" w:hAnsi="Times New Roman" w:cs="Times New Roman"/>
          <w:sz w:val="24"/>
          <w:szCs w:val="24"/>
        </w:rPr>
        <w:t xml:space="preserve"> (доповідач)</w:t>
      </w:r>
      <w:r w:rsidRPr="004369F8">
        <w:rPr>
          <w:rFonts w:ascii="Times New Roman" w:eastAsia="Times New Roman" w:hAnsi="Times New Roman" w:cs="Times New Roman"/>
          <w:sz w:val="24"/>
          <w:szCs w:val="24"/>
        </w:rPr>
        <w:t>, Романа САБОДАША, Руслана</w:t>
      </w:r>
      <w:r w:rsidR="009504A7" w:rsidRPr="004369F8">
        <w:rPr>
          <w:rFonts w:ascii="Times New Roman" w:eastAsia="Times New Roman" w:hAnsi="Times New Roman" w:cs="Times New Roman"/>
          <w:sz w:val="24"/>
          <w:szCs w:val="24"/>
        </w:rPr>
        <w:t> </w:t>
      </w:r>
      <w:r w:rsidRPr="004369F8">
        <w:rPr>
          <w:rFonts w:ascii="Times New Roman" w:eastAsia="Times New Roman" w:hAnsi="Times New Roman" w:cs="Times New Roman"/>
          <w:sz w:val="24"/>
          <w:szCs w:val="24"/>
        </w:rPr>
        <w:t>СИДОРОВИЧА, Сергія 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sidRPr="004369F8">
        <w:rPr>
          <w:rFonts w:ascii="Times New Roman" w:eastAsia="Times New Roman" w:hAnsi="Times New Roman" w:cs="Times New Roman"/>
          <w:sz w:val="24"/>
          <w:szCs w:val="24"/>
        </w:rPr>
        <w:t>членів Громадської ради міжнародних експертів: Нормана ААСА,</w:t>
      </w:r>
      <w:r w:rsidR="00156E75">
        <w:rPr>
          <w:rFonts w:ascii="Times New Roman" w:eastAsia="Times New Roman" w:hAnsi="Times New Roman" w:cs="Times New Roman"/>
          <w:sz w:val="24"/>
          <w:szCs w:val="24"/>
        </w:rPr>
        <w:t xml:space="preserve"> </w:t>
      </w:r>
      <w:proofErr w:type="spellStart"/>
      <w:r w:rsidRPr="004369F8">
        <w:rPr>
          <w:rFonts w:ascii="Times New Roman" w:eastAsia="Times New Roman" w:hAnsi="Times New Roman" w:cs="Times New Roman"/>
          <w:sz w:val="24"/>
          <w:szCs w:val="24"/>
        </w:rPr>
        <w:t>Ґабріелє</w:t>
      </w:r>
      <w:proofErr w:type="spellEnd"/>
      <w:r w:rsidR="009504A7" w:rsidRPr="004369F8">
        <w:rPr>
          <w:rFonts w:ascii="Times New Roman" w:eastAsia="Times New Roman" w:hAnsi="Times New Roman" w:cs="Times New Roman"/>
          <w:sz w:val="24"/>
          <w:szCs w:val="24"/>
        </w:rPr>
        <w:t> </w:t>
      </w:r>
      <w:r w:rsidRPr="004369F8">
        <w:rPr>
          <w:rFonts w:ascii="Times New Roman" w:eastAsia="Times New Roman" w:hAnsi="Times New Roman" w:cs="Times New Roman"/>
          <w:sz w:val="24"/>
          <w:szCs w:val="24"/>
        </w:rPr>
        <w:t>ЮОДКАЙТЕ-</w:t>
      </w:r>
      <w:r w:rsidR="00156E75">
        <w:rPr>
          <w:rFonts w:ascii="Times New Roman" w:eastAsia="Times New Roman" w:hAnsi="Times New Roman" w:cs="Times New Roman"/>
          <w:sz w:val="24"/>
          <w:szCs w:val="24"/>
        </w:rPr>
        <w:t> </w:t>
      </w:r>
      <w:r w:rsidRPr="004369F8">
        <w:rPr>
          <w:rFonts w:ascii="Times New Roman" w:eastAsia="Times New Roman" w:hAnsi="Times New Roman" w:cs="Times New Roman"/>
          <w:sz w:val="24"/>
          <w:szCs w:val="24"/>
        </w:rPr>
        <w:t>ҐРАНСКІЄНЕ</w:t>
      </w:r>
      <w:r w:rsidR="004369F8" w:rsidRPr="004369F8">
        <w:rPr>
          <w:rFonts w:ascii="Times New Roman" w:eastAsia="Times New Roman" w:hAnsi="Times New Roman" w:cs="Times New Roman"/>
          <w:sz w:val="24"/>
          <w:szCs w:val="24"/>
        </w:rPr>
        <w:t xml:space="preserve"> (доповідач)</w:t>
      </w:r>
      <w:r w:rsidRPr="004369F8">
        <w:rPr>
          <w:rFonts w:ascii="Times New Roman" w:eastAsia="Times New Roman" w:hAnsi="Times New Roman" w:cs="Times New Roman"/>
          <w:sz w:val="24"/>
          <w:szCs w:val="24"/>
        </w:rPr>
        <w:t xml:space="preserve">, Мері К. БАТЛЕР, </w:t>
      </w:r>
      <w:proofErr w:type="spellStart"/>
      <w:r w:rsidRPr="004369F8">
        <w:rPr>
          <w:rFonts w:ascii="Times New Roman" w:eastAsia="Times New Roman" w:hAnsi="Times New Roman" w:cs="Times New Roman"/>
          <w:sz w:val="24"/>
          <w:szCs w:val="24"/>
        </w:rPr>
        <w:t>Джесіки</w:t>
      </w:r>
      <w:proofErr w:type="spellEnd"/>
      <w:r w:rsidRPr="004369F8">
        <w:rPr>
          <w:rFonts w:ascii="Times New Roman" w:eastAsia="Times New Roman" w:hAnsi="Times New Roman" w:cs="Times New Roman"/>
          <w:sz w:val="24"/>
          <w:szCs w:val="24"/>
        </w:rPr>
        <w:t xml:space="preserve"> ЛОТ ТОМПСОН, Джона </w:t>
      </w:r>
      <w:proofErr w:type="spellStart"/>
      <w:r w:rsidRPr="004369F8">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4369F8" w:rsidRPr="004369F8">
        <w:rPr>
          <w:rFonts w:ascii="Times New Roman" w:eastAsia="Times New Roman" w:hAnsi="Times New Roman" w:cs="Times New Roman"/>
          <w:sz w:val="24"/>
          <w:szCs w:val="24"/>
        </w:rPr>
        <w:t>Рубащенка</w:t>
      </w:r>
      <w:proofErr w:type="spellEnd"/>
      <w:r w:rsidR="004369F8" w:rsidRPr="004369F8">
        <w:rPr>
          <w:rFonts w:ascii="Times New Roman" w:eastAsia="Times New Roman" w:hAnsi="Times New Roman" w:cs="Times New Roman"/>
          <w:sz w:val="24"/>
          <w:szCs w:val="24"/>
        </w:rPr>
        <w:t xml:space="preserve"> Миколи Анатолійовича </w:t>
      </w:r>
      <w:r>
        <w:rPr>
          <w:rFonts w:ascii="Times New Roman" w:eastAsia="Times New Roman" w:hAnsi="Times New Roman" w:cs="Times New Roman"/>
          <w:sz w:val="24"/>
          <w:szCs w:val="24"/>
        </w:rPr>
        <w:t>критеріям, передбаченим частиною четвертою статті 8 Закону України «Про Вищий антикорупційний суд»,</w:t>
      </w: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встановили:</w:t>
      </w:r>
    </w:p>
    <w:p w:rsidR="00177C20" w:rsidRPr="00177C20" w:rsidRDefault="00177C20" w:rsidP="00177C20">
      <w:pPr>
        <w:spacing w:line="240" w:lineRule="auto"/>
        <w:ind w:firstLine="567"/>
        <w:jc w:val="center"/>
        <w:rPr>
          <w:rFonts w:ascii="Times New Roman" w:eastAsia="Times New Roman" w:hAnsi="Times New Roman" w:cs="Times New Roman"/>
          <w:sz w:val="24"/>
          <w:szCs w:val="24"/>
        </w:rPr>
      </w:pPr>
    </w:p>
    <w:p w:rsidR="004369F8" w:rsidRPr="004369F8" w:rsidRDefault="004369F8" w:rsidP="004369F8">
      <w:pPr>
        <w:pStyle w:val="af0"/>
        <w:spacing w:before="0" w:beforeAutospacing="0" w:after="0" w:afterAutospacing="0"/>
        <w:ind w:firstLine="709"/>
        <w:jc w:val="both"/>
        <w:rPr>
          <w:color w:val="000000"/>
        </w:rPr>
      </w:pPr>
      <w:r w:rsidRPr="004369F8">
        <w:rPr>
          <w:b/>
          <w:bCs/>
          <w:color w:val="1D1D1B"/>
        </w:rPr>
        <w:t>1.</w:t>
      </w:r>
      <w:r w:rsidR="00713913">
        <w:rPr>
          <w:color w:val="1D1D1B"/>
        </w:rPr>
        <w:t xml:space="preserve">  </w:t>
      </w:r>
      <w:r w:rsidRPr="004369F8">
        <w:rPr>
          <w:b/>
          <w:bCs/>
          <w:color w:val="000000"/>
        </w:rPr>
        <w:t>Стислий виклад інформації про кар’єру кандидата</w:t>
      </w:r>
    </w:p>
    <w:p w:rsidR="004369F8" w:rsidRPr="004369F8" w:rsidRDefault="004369F8" w:rsidP="004369F8">
      <w:pPr>
        <w:pStyle w:val="af0"/>
        <w:spacing w:before="0" w:beforeAutospacing="0" w:after="0" w:afterAutospacing="0"/>
        <w:ind w:firstLine="709"/>
        <w:jc w:val="both"/>
        <w:rPr>
          <w:color w:val="000000"/>
        </w:rPr>
      </w:pPr>
      <w:proofErr w:type="spellStart"/>
      <w:r w:rsidRPr="004369F8">
        <w:rPr>
          <w:color w:val="000000"/>
        </w:rPr>
        <w:t>Рубащенко</w:t>
      </w:r>
      <w:proofErr w:type="spellEnd"/>
      <w:r w:rsidRPr="004369F8">
        <w:rPr>
          <w:color w:val="000000"/>
        </w:rPr>
        <w:t xml:space="preserve"> М.А. у 2011 році закінчив Національну юридичну академію імені Ярослава Мудрого, отримав повну вищу освіту та </w:t>
      </w:r>
      <w:r w:rsidRPr="004369F8">
        <w:rPr>
          <w:color w:val="1D1D1B"/>
        </w:rPr>
        <w:t>здобув кваліфікацію юриста</w:t>
      </w:r>
      <w:r w:rsidRPr="004369F8">
        <w:rPr>
          <w:color w:val="000000"/>
        </w:rPr>
        <w:t xml:space="preserve">. У 2015 році здобув науковий ступінь кандидата наук, захистивши дисертацію на тему «Кримінальна відповідальність за посягання на територіальну цілісність і недоторканість України» у Науково-дослідному інституті вивчення проблем злочинності імені академіка В.В. </w:t>
      </w:r>
      <w:proofErr w:type="spellStart"/>
      <w:r w:rsidRPr="004369F8">
        <w:rPr>
          <w:color w:val="000000"/>
        </w:rPr>
        <w:t>Сташиса</w:t>
      </w:r>
      <w:proofErr w:type="spellEnd"/>
      <w:r w:rsidRPr="004369F8">
        <w:rPr>
          <w:color w:val="000000"/>
        </w:rPr>
        <w:t xml:space="preserve"> </w:t>
      </w:r>
      <w:proofErr w:type="spellStart"/>
      <w:r w:rsidRPr="004369F8">
        <w:rPr>
          <w:color w:val="000000"/>
        </w:rPr>
        <w:t>НАПрН</w:t>
      </w:r>
      <w:proofErr w:type="spellEnd"/>
      <w:r w:rsidRPr="004369F8">
        <w:rPr>
          <w:color w:val="000000"/>
        </w:rPr>
        <w:t xml:space="preserve"> України.</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У 2020 році йому присвоєно вчене звання доцента кафедри кримінального права.</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Трудову діяльність кандидат розпочав у 2014 році на посаді асистента кафедри кримінального права Національного юридичного університету імені Ярослава Мудрого. У 2019 році обійняв посаду доцента цієї кафедри.</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Також кандидат за сумісництвом працював доцентом у Національному авіаційному університеті протягом 2023–2024 років.</w:t>
      </w:r>
    </w:p>
    <w:p w:rsidR="00BB5E0E" w:rsidRDefault="004369F8" w:rsidP="00BB5E0E">
      <w:pPr>
        <w:pStyle w:val="af0"/>
        <w:spacing w:before="0" w:beforeAutospacing="0" w:after="0" w:afterAutospacing="0"/>
        <w:ind w:firstLine="709"/>
        <w:jc w:val="both"/>
        <w:rPr>
          <w:color w:val="000000"/>
        </w:rPr>
      </w:pPr>
      <w:r w:rsidRPr="004369F8">
        <w:rPr>
          <w:color w:val="000000"/>
        </w:rPr>
        <w:t xml:space="preserve">Крім того, кандидат здійснював діяльність як </w:t>
      </w:r>
      <w:proofErr w:type="spellStart"/>
      <w:r w:rsidRPr="004369F8">
        <w:rPr>
          <w:color w:val="000000"/>
        </w:rPr>
        <w:t>самозайнята</w:t>
      </w:r>
      <w:proofErr w:type="spellEnd"/>
      <w:r w:rsidRPr="004369F8">
        <w:rPr>
          <w:color w:val="000000"/>
        </w:rPr>
        <w:t xml:space="preserve"> особа.</w:t>
      </w:r>
    </w:p>
    <w:p w:rsidR="00BB5E0E" w:rsidRDefault="00BB5E0E" w:rsidP="004369F8">
      <w:pPr>
        <w:pStyle w:val="af0"/>
        <w:spacing w:before="0" w:beforeAutospacing="0" w:after="0" w:afterAutospacing="0"/>
        <w:ind w:firstLine="709"/>
        <w:jc w:val="both"/>
        <w:rPr>
          <w:b/>
          <w:color w:val="000000"/>
        </w:rPr>
      </w:pPr>
    </w:p>
    <w:p w:rsidR="004369F8" w:rsidRPr="004369F8" w:rsidRDefault="00BB5E0E" w:rsidP="004369F8">
      <w:pPr>
        <w:pStyle w:val="af0"/>
        <w:spacing w:before="0" w:beforeAutospacing="0" w:after="0" w:afterAutospacing="0"/>
        <w:ind w:firstLine="709"/>
        <w:jc w:val="both"/>
        <w:rPr>
          <w:color w:val="000000"/>
        </w:rPr>
      </w:pPr>
      <w:r w:rsidRPr="00BB5E0E">
        <w:rPr>
          <w:b/>
          <w:color w:val="000000"/>
        </w:rPr>
        <w:t>2.</w:t>
      </w:r>
      <w:r>
        <w:rPr>
          <w:color w:val="000000"/>
        </w:rPr>
        <w:t xml:space="preserve"> </w:t>
      </w:r>
      <w:r w:rsidRPr="00055BC8">
        <w:rPr>
          <w:b/>
        </w:rPr>
        <w:t>Інформація про участь кандидата в конкурсі</w:t>
      </w:r>
    </w:p>
    <w:p w:rsidR="00BB5E0E" w:rsidRP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w:t>
      </w:r>
      <w:r w:rsidRPr="00BB5E0E">
        <w:rPr>
          <w:rFonts w:ascii="Times New Roman" w:eastAsia="Times New Roman" w:hAnsi="Times New Roman" w:cs="Times New Roman"/>
          <w:sz w:val="24"/>
          <w:szCs w:val="24"/>
        </w:rPr>
        <w:lastRenderedPageBreak/>
        <w:t>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BB5E0E" w:rsidRP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BB5E0E" w:rsidRP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BB5E0E" w:rsidRP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 Комісії від 29 квітня 2024 року № 111/зп-24 призначено членів ГРМЕ.</w:t>
      </w:r>
    </w:p>
    <w:p w:rsidR="00BB5E0E" w:rsidRPr="00BB5E0E" w:rsidRDefault="001D1AD0" w:rsidP="00BB5E0E">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Рубащенко</w:t>
      </w:r>
      <w:proofErr w:type="spellEnd"/>
      <w:r>
        <w:rPr>
          <w:rFonts w:ascii="Times New Roman" w:eastAsia="Times New Roman" w:hAnsi="Times New Roman" w:cs="Times New Roman"/>
          <w:sz w:val="24"/>
          <w:szCs w:val="24"/>
        </w:rPr>
        <w:t xml:space="preserve"> М.А. 14 липня 2025 року подав</w:t>
      </w:r>
      <w:r w:rsidR="00BB5E0E" w:rsidRPr="00BB5E0E">
        <w:rPr>
          <w:rFonts w:ascii="Times New Roman" w:eastAsia="Times New Roman" w:hAnsi="Times New Roman" w:cs="Times New Roman"/>
          <w:sz w:val="24"/>
          <w:szCs w:val="24"/>
        </w:rPr>
        <w:t xml:space="preserve"> до Комісії заяву про допуск до участі в конкурсі та пр</w:t>
      </w:r>
      <w:r>
        <w:rPr>
          <w:rFonts w:ascii="Times New Roman" w:eastAsia="Times New Roman" w:hAnsi="Times New Roman" w:cs="Times New Roman"/>
          <w:sz w:val="24"/>
          <w:szCs w:val="24"/>
        </w:rPr>
        <w:t>о проведення стосовно нього</w:t>
      </w:r>
      <w:r w:rsidR="00BB5E0E" w:rsidRPr="00BB5E0E">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w:t>
      </w:r>
      <w:r w:rsidR="004A12BD">
        <w:rPr>
          <w:rFonts w:ascii="Times New Roman" w:eastAsia="Times New Roman" w:hAnsi="Times New Roman" w:cs="Times New Roman"/>
          <w:sz w:val="24"/>
          <w:szCs w:val="24"/>
        </w:rPr>
        <w:t xml:space="preserve"> яка відповідає вимогам пункту 2</w:t>
      </w:r>
      <w:r w:rsidR="00BB5E0E" w:rsidRPr="00BB5E0E">
        <w:rPr>
          <w:rFonts w:ascii="Times New Roman" w:eastAsia="Times New Roman" w:hAnsi="Times New Roman" w:cs="Times New Roman"/>
          <w:sz w:val="24"/>
          <w:szCs w:val="24"/>
        </w:rPr>
        <w:t xml:space="preserve"> частини другої статті 7 Закону № 2447-VІІІ.</w:t>
      </w:r>
    </w:p>
    <w:p w:rsidR="001D1AD0" w:rsidRPr="004369F8" w:rsidRDefault="001D1AD0" w:rsidP="001D1AD0">
      <w:pPr>
        <w:spacing w:line="240" w:lineRule="auto"/>
        <w:ind w:firstLine="709"/>
        <w:jc w:val="both"/>
        <w:rPr>
          <w:rFonts w:ascii="Times New Roman" w:hAnsi="Times New Roman" w:cs="Times New Roman"/>
          <w:color w:val="000000"/>
          <w:sz w:val="24"/>
          <w:szCs w:val="24"/>
        </w:rPr>
      </w:pPr>
      <w:r w:rsidRPr="004369F8">
        <w:rPr>
          <w:rFonts w:ascii="Times New Roman" w:hAnsi="Times New Roman" w:cs="Times New Roman"/>
          <w:color w:val="000000"/>
          <w:sz w:val="24"/>
          <w:szCs w:val="24"/>
        </w:rPr>
        <w:t>Рішенням Комісії від 16 вересня 2025 року № 12/вс-25 кандидата допущено до проходження кваліфікаційного оцінювання для участі в конкурсі.</w:t>
      </w:r>
    </w:p>
    <w:p w:rsidR="003E2BEE" w:rsidRPr="00BB5E0E" w:rsidRDefault="003E2BEE" w:rsidP="003E2BE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3E2BEE" w:rsidRPr="00BB5E0E" w:rsidRDefault="003E2BEE" w:rsidP="003E2BE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w:t>
      </w:r>
      <w:r w:rsidR="00A62E85">
        <w:rPr>
          <w:rFonts w:ascii="Times New Roman" w:eastAsia="Times New Roman" w:hAnsi="Times New Roman" w:cs="Times New Roman"/>
          <w:sz w:val="24"/>
          <w:szCs w:val="24"/>
        </w:rPr>
        <w:t>ержавності, кандидат отримав 40</w:t>
      </w:r>
      <w:r w:rsidRPr="00BB5E0E">
        <w:rPr>
          <w:rFonts w:ascii="Times New Roman" w:eastAsia="Times New Roman" w:hAnsi="Times New Roman" w:cs="Times New Roman"/>
          <w:sz w:val="24"/>
          <w:szCs w:val="24"/>
        </w:rPr>
        <w:t xml:space="preserve"> б</w:t>
      </w:r>
      <w:r w:rsidR="00A62E85">
        <w:rPr>
          <w:rFonts w:ascii="Times New Roman" w:eastAsia="Times New Roman" w:hAnsi="Times New Roman" w:cs="Times New Roman"/>
          <w:sz w:val="24"/>
          <w:szCs w:val="24"/>
        </w:rPr>
        <w:t>алів. Цим же рішенням Комісії його</w:t>
      </w:r>
      <w:r w:rsidRPr="00BB5E0E">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1D1AD0" w:rsidRPr="004369F8" w:rsidRDefault="001D1AD0" w:rsidP="001D1AD0">
      <w:pPr>
        <w:spacing w:line="240" w:lineRule="auto"/>
        <w:ind w:firstLine="709"/>
        <w:jc w:val="both"/>
        <w:rPr>
          <w:rFonts w:ascii="Times New Roman" w:hAnsi="Times New Roman" w:cs="Times New Roman"/>
          <w:color w:val="000000"/>
          <w:sz w:val="24"/>
          <w:szCs w:val="24"/>
        </w:rPr>
      </w:pPr>
      <w:r w:rsidRPr="004369F8">
        <w:rPr>
          <w:rFonts w:ascii="Times New Roman" w:hAnsi="Times New Roman" w:cs="Times New Roman"/>
          <w:color w:val="000000"/>
          <w:sz w:val="24"/>
          <w:szCs w:val="24"/>
        </w:rPr>
        <w:t>Рішенням Комісії від 14 жовтня 2025 року № 187/зп-25 затверджено результати тестування загальних знань у сфері права та знань зі спеціаліза</w:t>
      </w:r>
      <w:r w:rsidR="003E2BEE">
        <w:rPr>
          <w:rFonts w:ascii="Times New Roman" w:hAnsi="Times New Roman" w:cs="Times New Roman"/>
          <w:color w:val="000000"/>
          <w:sz w:val="24"/>
          <w:szCs w:val="24"/>
        </w:rPr>
        <w:t>ції ВАКС</w:t>
      </w:r>
      <w:r w:rsidRPr="004369F8">
        <w:rPr>
          <w:rFonts w:ascii="Times New Roman" w:hAnsi="Times New Roman" w:cs="Times New Roman"/>
          <w:color w:val="000000"/>
          <w:sz w:val="24"/>
          <w:szCs w:val="24"/>
        </w:rPr>
        <w:t>, кандидат отримав 140 бал</w:t>
      </w:r>
      <w:r w:rsidR="003E2BEE">
        <w:rPr>
          <w:rFonts w:ascii="Times New Roman" w:hAnsi="Times New Roman" w:cs="Times New Roman"/>
          <w:color w:val="000000"/>
          <w:sz w:val="24"/>
          <w:szCs w:val="24"/>
        </w:rPr>
        <w:t xml:space="preserve">ів. Цим же рішенням Комісії </w:t>
      </w:r>
      <w:proofErr w:type="spellStart"/>
      <w:r w:rsidR="003E2BEE">
        <w:rPr>
          <w:rFonts w:ascii="Times New Roman" w:hAnsi="Times New Roman" w:cs="Times New Roman"/>
          <w:color w:val="000000"/>
          <w:sz w:val="24"/>
          <w:szCs w:val="24"/>
        </w:rPr>
        <w:t>Рубащенка</w:t>
      </w:r>
      <w:proofErr w:type="spellEnd"/>
      <w:r w:rsidR="003E2BEE">
        <w:rPr>
          <w:rFonts w:ascii="Times New Roman" w:hAnsi="Times New Roman" w:cs="Times New Roman"/>
          <w:color w:val="000000"/>
          <w:sz w:val="24"/>
          <w:szCs w:val="24"/>
        </w:rPr>
        <w:t xml:space="preserve"> М.А.</w:t>
      </w:r>
      <w:r w:rsidRPr="004369F8">
        <w:rPr>
          <w:rFonts w:ascii="Times New Roman" w:hAnsi="Times New Roman" w:cs="Times New Roman"/>
          <w:color w:val="000000"/>
          <w:sz w:val="24"/>
          <w:szCs w:val="24"/>
        </w:rPr>
        <w:t xml:space="preserve"> допущено до третього етапу кваліфікаційного іспиту – тестування когнітивних здібностей. </w:t>
      </w:r>
    </w:p>
    <w:p w:rsidR="00F6070F" w:rsidRPr="00BB5E0E" w:rsidRDefault="001D1AD0" w:rsidP="00F6070F">
      <w:pPr>
        <w:spacing w:line="240" w:lineRule="auto"/>
        <w:ind w:firstLine="709"/>
        <w:jc w:val="both"/>
        <w:rPr>
          <w:rFonts w:ascii="Times New Roman" w:eastAsia="Times New Roman" w:hAnsi="Times New Roman" w:cs="Times New Roman"/>
          <w:sz w:val="24"/>
          <w:szCs w:val="24"/>
        </w:rPr>
      </w:pPr>
      <w:r w:rsidRPr="004369F8">
        <w:rPr>
          <w:rFonts w:ascii="Times New Roman" w:hAnsi="Times New Roman" w:cs="Times New Roman"/>
          <w:color w:val="000000"/>
          <w:sz w:val="24"/>
          <w:szCs w:val="24"/>
        </w:rPr>
        <w:t xml:space="preserve">Рішенням Комісії від 29 жовтня 2025 року № 195/зп-25 затверджено результати тестування когнітивних здібностей, кандидат отримав 34,08 </w:t>
      </w:r>
      <w:proofErr w:type="spellStart"/>
      <w:r w:rsidRPr="004369F8">
        <w:rPr>
          <w:rFonts w:ascii="Times New Roman" w:hAnsi="Times New Roman" w:cs="Times New Roman"/>
          <w:color w:val="000000"/>
          <w:sz w:val="24"/>
          <w:szCs w:val="24"/>
        </w:rPr>
        <w:t>бала</w:t>
      </w:r>
      <w:proofErr w:type="spellEnd"/>
      <w:r w:rsidRPr="004369F8">
        <w:rPr>
          <w:rFonts w:ascii="Times New Roman" w:hAnsi="Times New Roman" w:cs="Times New Roman"/>
          <w:color w:val="000000"/>
          <w:sz w:val="24"/>
          <w:szCs w:val="24"/>
        </w:rPr>
        <w:t xml:space="preserve">. Цим же рішенням Комісії його допущено </w:t>
      </w:r>
      <w:r w:rsidR="00F6070F" w:rsidRPr="00BB5E0E">
        <w:rPr>
          <w:rFonts w:ascii="Times New Roman" w:eastAsia="Times New Roman" w:hAnsi="Times New Roman" w:cs="Times New Roman"/>
          <w:sz w:val="24"/>
          <w:szCs w:val="24"/>
        </w:rPr>
        <w:t>до четвертого етапу кваліфікаційного іспиту – виконання практичного завдання зі спеціалізації ВАКС.</w:t>
      </w:r>
    </w:p>
    <w:p w:rsidR="001D1AD0" w:rsidRPr="00F6070F" w:rsidRDefault="001D1AD0" w:rsidP="00BB5E0E">
      <w:pPr>
        <w:spacing w:line="240" w:lineRule="auto"/>
        <w:ind w:firstLine="709"/>
        <w:jc w:val="both"/>
        <w:rPr>
          <w:rFonts w:ascii="Times New Roman" w:hAnsi="Times New Roman" w:cs="Times New Roman"/>
          <w:color w:val="000000"/>
          <w:sz w:val="24"/>
          <w:szCs w:val="24"/>
        </w:rPr>
      </w:pPr>
      <w:r w:rsidRPr="004369F8">
        <w:rPr>
          <w:rFonts w:ascii="Times New Roman" w:hAnsi="Times New Roman" w:cs="Times New Roman"/>
          <w:color w:val="000000"/>
          <w:sz w:val="24"/>
          <w:szCs w:val="24"/>
        </w:rPr>
        <w:t>Рішенням Комісії від 22 грудня 2025 року № 223/зп-25 затверджено результати виконання практичного завдання, кандидат отримав 136,25 балів. </w:t>
      </w:r>
    </w:p>
    <w:p w:rsidR="00BB5E0E" w:rsidRP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BB5E0E" w:rsidRP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w:t>
      </w:r>
      <w:r w:rsidR="00071DE6">
        <w:rPr>
          <w:rFonts w:ascii="Times New Roman" w:eastAsia="Times New Roman" w:hAnsi="Times New Roman" w:cs="Times New Roman"/>
          <w:sz w:val="24"/>
          <w:szCs w:val="24"/>
        </w:rPr>
        <w:t xml:space="preserve">та на посаду судді </w:t>
      </w:r>
      <w:proofErr w:type="spellStart"/>
      <w:r w:rsidR="00071DE6">
        <w:rPr>
          <w:rFonts w:ascii="Times New Roman" w:eastAsia="Times New Roman" w:hAnsi="Times New Roman" w:cs="Times New Roman"/>
          <w:sz w:val="24"/>
          <w:szCs w:val="24"/>
        </w:rPr>
        <w:t>Рубащенка</w:t>
      </w:r>
      <w:proofErr w:type="spellEnd"/>
      <w:r w:rsidR="00071DE6">
        <w:rPr>
          <w:rFonts w:ascii="Times New Roman" w:eastAsia="Times New Roman" w:hAnsi="Times New Roman" w:cs="Times New Roman"/>
          <w:sz w:val="24"/>
          <w:szCs w:val="24"/>
        </w:rPr>
        <w:t xml:space="preserve"> М.А.</w:t>
      </w:r>
      <w:r w:rsidRPr="00BB5E0E">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713913" w:rsidRDefault="00713913" w:rsidP="00713913">
      <w:pPr>
        <w:spacing w:line="240" w:lineRule="auto"/>
        <w:ind w:firstLine="709"/>
        <w:jc w:val="both"/>
        <w:rPr>
          <w:rFonts w:ascii="Times New Roman" w:hAnsi="Times New Roman" w:cs="Times New Roman"/>
          <w:color w:val="000000"/>
          <w:sz w:val="24"/>
          <w:szCs w:val="24"/>
        </w:rPr>
      </w:pPr>
      <w:r w:rsidRPr="004369F8">
        <w:rPr>
          <w:rFonts w:ascii="Times New Roman" w:hAnsi="Times New Roman" w:cs="Times New Roman"/>
          <w:color w:val="000000"/>
          <w:sz w:val="24"/>
          <w:szCs w:val="24"/>
        </w:rPr>
        <w:t>17 лютого 2026 року Комісія та ГРМЕ провели спеціальне спільне засідання стосовно кандидата (</w:t>
      </w:r>
      <w:hyperlink r:id="rId9" w:history="1">
        <w:r w:rsidRPr="004369F8">
          <w:rPr>
            <w:rFonts w:ascii="Times New Roman" w:hAnsi="Times New Roman" w:cs="Times New Roman"/>
            <w:color w:val="1155CC"/>
            <w:sz w:val="24"/>
            <w:szCs w:val="24"/>
            <w:u w:val="single"/>
          </w:rPr>
          <w:t>https://www.youtube.com/live/zFOafrHm8fY?si=PFa9BzpCdhHVv4Ro</w:t>
        </w:r>
      </w:hyperlink>
      <w:r w:rsidRPr="004369F8">
        <w:rPr>
          <w:rFonts w:ascii="Times New Roman" w:hAnsi="Times New Roman" w:cs="Times New Roman"/>
          <w:color w:val="000000"/>
          <w:sz w:val="24"/>
          <w:szCs w:val="24"/>
        </w:rPr>
        <w:t>).</w:t>
      </w:r>
    </w:p>
    <w:p w:rsidR="00713913" w:rsidRDefault="00713913" w:rsidP="00BB5E0E">
      <w:pPr>
        <w:spacing w:line="240" w:lineRule="auto"/>
        <w:ind w:firstLine="709"/>
        <w:jc w:val="both"/>
        <w:rPr>
          <w:rFonts w:ascii="Times New Roman" w:eastAsia="Times New Roman" w:hAnsi="Times New Roman" w:cs="Times New Roman"/>
          <w:sz w:val="24"/>
          <w:szCs w:val="24"/>
        </w:rPr>
      </w:pPr>
    </w:p>
    <w:p w:rsidR="00BB5E0E" w:rsidRP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055BC8">
        <w:rPr>
          <w:rFonts w:ascii="Times New Roman" w:eastAsia="Times New Roman" w:hAnsi="Times New Roman" w:cs="Times New Roman"/>
          <w:b/>
          <w:sz w:val="24"/>
          <w:szCs w:val="24"/>
        </w:rPr>
        <w:t>Обставини, які досліджувалися</w:t>
      </w:r>
    </w:p>
    <w:p w:rsidR="00BB5E0E" w:rsidRDefault="00BB5E0E" w:rsidP="00BB5E0E">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BB5E0E" w:rsidRDefault="00BB5E0E" w:rsidP="004369F8">
      <w:pPr>
        <w:pStyle w:val="af0"/>
        <w:spacing w:before="0" w:beforeAutospacing="0" w:after="0" w:afterAutospacing="0"/>
        <w:ind w:firstLine="709"/>
        <w:jc w:val="both"/>
        <w:rPr>
          <w:b/>
          <w:bCs/>
          <w:color w:val="1D1D1B"/>
        </w:rPr>
      </w:pPr>
    </w:p>
    <w:p w:rsidR="004369F8" w:rsidRPr="004369F8" w:rsidRDefault="004369F8" w:rsidP="004369F8">
      <w:pPr>
        <w:pStyle w:val="af0"/>
        <w:spacing w:before="0" w:beforeAutospacing="0" w:after="0" w:afterAutospacing="0"/>
        <w:ind w:firstLine="709"/>
        <w:jc w:val="both"/>
        <w:rPr>
          <w:color w:val="000000"/>
        </w:rPr>
      </w:pPr>
      <w:r w:rsidRPr="004369F8">
        <w:rPr>
          <w:b/>
          <w:bCs/>
          <w:color w:val="000000"/>
        </w:rPr>
        <w:t>3.1. Щодо зростання грошових активів кандидата у 2024 році</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У декларації особи, уповноваженої на виконання функцій держави або місцевого самоврядування (далі – майнова декларація) за 2024 рік кандидат задекларував грошові активи в розмірі 29 212 доларів США, 3 001 євро та 4 079 грн. В порівнянні із майновою декларацією кандидата за попередній рік у цьому звітному періоді грошові активи кандидата зросли на 18 </w:t>
      </w:r>
      <w:r w:rsidR="00713913" w:rsidRPr="004369F8">
        <w:t> </w:t>
      </w:r>
      <w:r w:rsidRPr="004369F8">
        <w:rPr>
          <w:color w:val="000000"/>
        </w:rPr>
        <w:t>508 доларів США та 1 701 євро, а також зменшилися на 82 581 грн.</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У відповідь на запит ГРМЕ та під час спеціального спільного засідання кандидат пояснив, що зростання грошових активів відбулося за рахунок доходів, отриманих у 2024 році, зокрема за рахунок таких видів доходів: заробітної плати за основним місцем роботи; заробітної плати за сумісництвом; доходів від підприємницької діяльності; процентів за банківськими вкладами; роялті та ін.</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Кандидат зазначив, що після сплати податків фактичний дохід у 2024 році становив 1 </w:t>
      </w:r>
      <w:r w:rsidR="00712004" w:rsidRPr="004369F8">
        <w:t> </w:t>
      </w:r>
      <w:r w:rsidRPr="004369F8">
        <w:rPr>
          <w:color w:val="000000"/>
        </w:rPr>
        <w:t xml:space="preserve">079 </w:t>
      </w:r>
      <w:r w:rsidR="00712004">
        <w:rPr>
          <w:color w:val="000000"/>
        </w:rPr>
        <w:t xml:space="preserve">360,79 грн, а фактичні витрати </w:t>
      </w:r>
      <w:r w:rsidR="00712004" w:rsidRPr="004369F8">
        <w:rPr>
          <w:color w:val="000000"/>
        </w:rPr>
        <w:t>–</w:t>
      </w:r>
      <w:r w:rsidRPr="004369F8">
        <w:rPr>
          <w:color w:val="000000"/>
        </w:rPr>
        <w:t xml:space="preserve"> приблизно 29 тис. грн на місяць. Він пояснив, що його витрати є помірними, оскільки він не має власної нерухомості та транспортних засобів, проживає один і працює переважно дистанційно.</w:t>
      </w:r>
    </w:p>
    <w:p w:rsidR="004369F8" w:rsidRDefault="004369F8" w:rsidP="004369F8">
      <w:pPr>
        <w:pStyle w:val="af0"/>
        <w:spacing w:before="0" w:beforeAutospacing="0" w:after="0" w:afterAutospacing="0"/>
        <w:ind w:firstLine="709"/>
        <w:jc w:val="both"/>
        <w:rPr>
          <w:color w:val="000000"/>
        </w:rPr>
      </w:pPr>
      <w:r w:rsidRPr="004369F8">
        <w:rPr>
          <w:color w:val="000000"/>
        </w:rPr>
        <w:t>Враховуючи надані розрахунки доходів, податків та витрат, кандидат підтвердив відповідність свого рівня життя задекларованим доходам.</w:t>
      </w:r>
    </w:p>
    <w:p w:rsidR="004369F8" w:rsidRPr="004369F8" w:rsidRDefault="004369F8" w:rsidP="004369F8">
      <w:pPr>
        <w:pStyle w:val="af0"/>
        <w:spacing w:before="0" w:beforeAutospacing="0" w:after="0" w:afterAutospacing="0"/>
        <w:ind w:firstLine="709"/>
        <w:jc w:val="both"/>
        <w:rPr>
          <w:color w:val="000000"/>
        </w:rPr>
      </w:pPr>
    </w:p>
    <w:p w:rsidR="004369F8" w:rsidRPr="004369F8" w:rsidRDefault="004369F8" w:rsidP="004369F8">
      <w:pPr>
        <w:pStyle w:val="af0"/>
        <w:spacing w:before="0" w:beforeAutospacing="0" w:after="0" w:afterAutospacing="0"/>
        <w:ind w:firstLine="709"/>
        <w:jc w:val="both"/>
        <w:rPr>
          <w:color w:val="000000"/>
        </w:rPr>
      </w:pPr>
      <w:r w:rsidRPr="004369F8">
        <w:rPr>
          <w:b/>
          <w:bCs/>
          <w:color w:val="000000"/>
        </w:rPr>
        <w:t>3.2. Щодо відсутності відомостей про окремі об’єкти нерухомості у деклараціях</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У розділі 2.1 «Інформація про суб’єкта декларування» майнових декларацій за 2023 та 2024 роки кандидат зазначив, що його зареєстрованим місцем проживання є </w:t>
      </w:r>
      <w:proofErr w:type="spellStart"/>
      <w:r w:rsidRPr="004369F8">
        <w:rPr>
          <w:color w:val="000000"/>
        </w:rPr>
        <w:t>обʼєкт</w:t>
      </w:r>
      <w:proofErr w:type="spellEnd"/>
      <w:r w:rsidRPr="004369F8">
        <w:rPr>
          <w:color w:val="000000"/>
        </w:rPr>
        <w:t xml:space="preserve"> нерухомого майна у м. Харків, а місцем фактичного проживання або поштовою </w:t>
      </w:r>
      <w:proofErr w:type="spellStart"/>
      <w:r w:rsidRPr="004369F8">
        <w:rPr>
          <w:color w:val="000000"/>
        </w:rPr>
        <w:t>адресою</w:t>
      </w:r>
      <w:proofErr w:type="spellEnd"/>
      <w:r w:rsidRPr="004369F8">
        <w:rPr>
          <w:color w:val="000000"/>
        </w:rPr>
        <w:t xml:space="preserve">, на яку Національне агентство з питань запобігання корупції може надсилати кореспонденцію суб'єкту декларування, – </w:t>
      </w:r>
      <w:proofErr w:type="spellStart"/>
      <w:r w:rsidRPr="004369F8">
        <w:rPr>
          <w:color w:val="000000"/>
        </w:rPr>
        <w:t>обʼєкт</w:t>
      </w:r>
      <w:proofErr w:type="spellEnd"/>
      <w:r w:rsidRPr="004369F8">
        <w:rPr>
          <w:color w:val="000000"/>
        </w:rPr>
        <w:t xml:space="preserve"> нерухомого майна у с. Миронівка Харківської області.</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Водночас у розділі 3 «Об’єкти нерухомості» цих декларацій кандидат зазначив лише квартиру площею 51,7 м² у м. Київ, на яку у нього </w:t>
      </w:r>
      <w:proofErr w:type="spellStart"/>
      <w:r w:rsidRPr="004369F8">
        <w:rPr>
          <w:color w:val="000000"/>
        </w:rPr>
        <w:t>виникло</w:t>
      </w:r>
      <w:proofErr w:type="spellEnd"/>
      <w:r w:rsidRPr="004369F8">
        <w:rPr>
          <w:color w:val="000000"/>
        </w:rPr>
        <w:t xml:space="preserve"> право користування у </w:t>
      </w:r>
      <w:proofErr w:type="spellStart"/>
      <w:r w:rsidRPr="004369F8">
        <w:rPr>
          <w:color w:val="000000"/>
        </w:rPr>
        <w:t>звʼязку</w:t>
      </w:r>
      <w:proofErr w:type="spellEnd"/>
      <w:r w:rsidRPr="004369F8">
        <w:rPr>
          <w:color w:val="000000"/>
        </w:rPr>
        <w:t xml:space="preserve"> із орендою. Інші об’єкти нерухомості, пов’язані з місцем реєстрації або фактичного проживання кандидата, у деклараціях не зазначені.</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У відповідь на запит ГРМЕ та під час спеціального спільного засідання кандидат пояснив, що у 2023 та 2024 роках не мав права користування відповідними об’єктами нерухомості (але мав таке право у 2022 році).</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Зокрема, </w:t>
      </w:r>
      <w:proofErr w:type="spellStart"/>
      <w:r w:rsidRPr="004369F8">
        <w:rPr>
          <w:color w:val="000000"/>
        </w:rPr>
        <w:t>обʼєкт</w:t>
      </w:r>
      <w:proofErr w:type="spellEnd"/>
      <w:r w:rsidRPr="004369F8">
        <w:rPr>
          <w:color w:val="000000"/>
        </w:rPr>
        <w:t xml:space="preserve"> нерухомого майна у м. Харків, який був його зареєстрованим місцем проживання, – це кімната в гуртожитку Національного юридичного університету імені Ярослава Мудрого. Хоч кандидат і залишається зареєстрованим у ньому, з 1 серпня 2022 року він не має жодних правових підстав для користування цим </w:t>
      </w:r>
      <w:proofErr w:type="spellStart"/>
      <w:r w:rsidRPr="004369F8">
        <w:rPr>
          <w:color w:val="000000"/>
        </w:rPr>
        <w:t>обʼєктом</w:t>
      </w:r>
      <w:proofErr w:type="spellEnd"/>
      <w:r w:rsidRPr="004369F8">
        <w:rPr>
          <w:color w:val="000000"/>
        </w:rPr>
        <w:t xml:space="preserve"> (відсутні договір та акт, відсутня оплата, фактичне проживання не здійснювалося). </w:t>
      </w:r>
    </w:p>
    <w:p w:rsidR="004369F8" w:rsidRPr="004369F8" w:rsidRDefault="004369F8" w:rsidP="004369F8">
      <w:pPr>
        <w:pStyle w:val="af0"/>
        <w:spacing w:before="0" w:beforeAutospacing="0" w:after="0" w:afterAutospacing="0"/>
        <w:ind w:firstLine="709"/>
        <w:jc w:val="both"/>
        <w:rPr>
          <w:color w:val="000000"/>
        </w:rPr>
      </w:pPr>
      <w:proofErr w:type="spellStart"/>
      <w:r w:rsidRPr="004369F8">
        <w:rPr>
          <w:color w:val="000000"/>
        </w:rPr>
        <w:t>Обʼєкт</w:t>
      </w:r>
      <w:proofErr w:type="spellEnd"/>
      <w:r w:rsidRPr="004369F8">
        <w:rPr>
          <w:color w:val="000000"/>
        </w:rPr>
        <w:t xml:space="preserve"> нерухомого майна у с. Миронівка, який зазначався як його фактичне місце проживання, – це приватний будинок його батьків, в якому він проживав з 24.02.2022 до 05.09.2022. З 05.09.2022 він у цьому будинку не проживав і лише епізодично приїздив у гості.</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У </w:t>
      </w:r>
      <w:proofErr w:type="spellStart"/>
      <w:r w:rsidRPr="004369F8">
        <w:rPr>
          <w:color w:val="000000"/>
        </w:rPr>
        <w:t>звʼязку</w:t>
      </w:r>
      <w:proofErr w:type="spellEnd"/>
      <w:r w:rsidRPr="004369F8">
        <w:rPr>
          <w:color w:val="000000"/>
        </w:rPr>
        <w:t xml:space="preserve"> із зазначеними обставинами кандидат не зазначав відомості про ці об’єкти у розділі 3 «Об’єкти нерухомості».</w:t>
      </w:r>
    </w:p>
    <w:p w:rsidR="004369F8" w:rsidRDefault="004369F8" w:rsidP="004369F8">
      <w:pPr>
        <w:pStyle w:val="af0"/>
        <w:spacing w:before="0" w:beforeAutospacing="0" w:after="0" w:afterAutospacing="0"/>
        <w:ind w:firstLine="709"/>
        <w:jc w:val="both"/>
        <w:rPr>
          <w:color w:val="000000"/>
        </w:rPr>
      </w:pPr>
      <w:r w:rsidRPr="004369F8">
        <w:rPr>
          <w:color w:val="000000"/>
        </w:rPr>
        <w:t>Враховуючи надані кандидатом пояснення, Комісія та ГРМЕ дійшли висновку, що зазначені обставини не свідчать про умисне недекларування майна.</w:t>
      </w:r>
    </w:p>
    <w:p w:rsidR="004369F8" w:rsidRPr="004369F8" w:rsidRDefault="004369F8" w:rsidP="004369F8">
      <w:pPr>
        <w:pStyle w:val="af0"/>
        <w:spacing w:before="0" w:beforeAutospacing="0" w:after="0" w:afterAutospacing="0"/>
        <w:ind w:firstLine="709"/>
        <w:jc w:val="both"/>
        <w:rPr>
          <w:color w:val="000000"/>
        </w:rPr>
      </w:pPr>
    </w:p>
    <w:p w:rsidR="004369F8" w:rsidRPr="004369F8" w:rsidRDefault="004369F8" w:rsidP="004369F8">
      <w:pPr>
        <w:pStyle w:val="af0"/>
        <w:spacing w:before="0" w:beforeAutospacing="0" w:after="0" w:afterAutospacing="0"/>
        <w:ind w:firstLine="709"/>
        <w:jc w:val="both"/>
        <w:rPr>
          <w:color w:val="000000"/>
        </w:rPr>
      </w:pPr>
      <w:r w:rsidRPr="004369F8">
        <w:rPr>
          <w:b/>
          <w:bCs/>
          <w:color w:val="000000"/>
        </w:rPr>
        <w:t>3.3. Щодо місця та умов проживання кандидата в місті Києві</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У майнових деклараціях за 2022–2024 роки кандидат зазначав право користування квартирою площею 51,7 м² у м. Київ. Власницею цієї квартири зазначено громадянку України </w:t>
      </w:r>
      <w:r w:rsidR="006A5D93">
        <w:rPr>
          <w:color w:val="000000"/>
        </w:rPr>
        <w:t>ОСОБА_1</w:t>
      </w:r>
      <w:r w:rsidRPr="004369F8">
        <w:rPr>
          <w:color w:val="000000"/>
        </w:rPr>
        <w:t>. Однак у договорі оренди, наданому кандидатом, відсутні реквізити про власницю цієї квартири. Комісія та ГРМЕ дослідили обставини, за яких кандидат почав проживати у квартирі, а також умови, на яких він користується цією квартирою.</w:t>
      </w:r>
    </w:p>
    <w:p w:rsidR="004369F8" w:rsidRDefault="004369F8" w:rsidP="004369F8">
      <w:pPr>
        <w:pStyle w:val="af0"/>
        <w:spacing w:before="0" w:beforeAutospacing="0" w:after="0" w:afterAutospacing="0"/>
        <w:ind w:firstLine="709"/>
        <w:jc w:val="both"/>
        <w:rPr>
          <w:color w:val="000000"/>
        </w:rPr>
      </w:pPr>
      <w:r w:rsidRPr="004369F8">
        <w:rPr>
          <w:color w:val="000000"/>
        </w:rPr>
        <w:lastRenderedPageBreak/>
        <w:t>У відповідь на запит ГРМЕ та під час спеціального спільного засідання кандидат пояснив, що з вересня 2022 року фактично проживає у квартирі в м. Києві, яку орендує. Однак договір оренди укладено за участю третіх осіб – друга кандидата, з яким він спільно винаймає цю квартиру, та представника власника. У зв’язку з цим договір не містить повних відомостей про власника квартири. Кандидат визнав, що з юридичної точки зору такий договір є неналежно оформленим, однак пояснив це обставинами термінового переїзду в умовах воєнного стану.</w:t>
      </w:r>
    </w:p>
    <w:p w:rsidR="004369F8" w:rsidRPr="004369F8" w:rsidRDefault="004369F8" w:rsidP="004369F8">
      <w:pPr>
        <w:pStyle w:val="af0"/>
        <w:spacing w:before="0" w:beforeAutospacing="0" w:after="0" w:afterAutospacing="0"/>
        <w:ind w:firstLine="709"/>
        <w:jc w:val="both"/>
        <w:rPr>
          <w:color w:val="000000"/>
        </w:rPr>
      </w:pPr>
    </w:p>
    <w:p w:rsidR="004369F8" w:rsidRPr="004369F8" w:rsidRDefault="004369F8" w:rsidP="004369F8">
      <w:pPr>
        <w:pStyle w:val="af0"/>
        <w:spacing w:before="0" w:beforeAutospacing="0" w:after="0" w:afterAutospacing="0"/>
        <w:ind w:firstLine="709"/>
        <w:jc w:val="both"/>
        <w:rPr>
          <w:color w:val="000000"/>
        </w:rPr>
      </w:pPr>
      <w:r w:rsidRPr="004369F8">
        <w:rPr>
          <w:b/>
          <w:bCs/>
          <w:color w:val="000000"/>
        </w:rPr>
        <w:t>3.4. Щодо походження земельних ділянок батька кандидата</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Відповідно до майнової декларації за 2022 рік у власності батька кандидата, </w:t>
      </w:r>
      <w:r w:rsidR="005F27CB">
        <w:rPr>
          <w:color w:val="000000"/>
        </w:rPr>
        <w:t>ОСОБА_2</w:t>
      </w:r>
      <w:r w:rsidRPr="004369F8">
        <w:rPr>
          <w:color w:val="000000"/>
        </w:rPr>
        <w:t>, перебувають чотири земельні ділянки у с. Миронівка Харківської області. Комісія та ГРМЕ дослідили обставини набуття батьком кандидата цих земельних ділянок та розмір отриманого доходу від їхнього використання.</w:t>
      </w:r>
    </w:p>
    <w:p w:rsidR="004369F8" w:rsidRPr="004369F8" w:rsidRDefault="004369F8" w:rsidP="004369F8">
      <w:pPr>
        <w:pStyle w:val="af0"/>
        <w:spacing w:before="0" w:beforeAutospacing="0" w:after="0" w:afterAutospacing="0"/>
        <w:ind w:firstLine="709"/>
        <w:jc w:val="both"/>
        <w:rPr>
          <w:color w:val="000000"/>
        </w:rPr>
      </w:pPr>
      <w:r w:rsidRPr="004369F8">
        <w:rPr>
          <w:color w:val="000000"/>
        </w:rPr>
        <w:t xml:space="preserve">У відповідь на запит ГРМЕ кандидат повідомив, що дві земельні ділянки площею 58 </w:t>
      </w:r>
      <w:r w:rsidR="00712004" w:rsidRPr="004369F8">
        <w:t> </w:t>
      </w:r>
      <w:r w:rsidRPr="004369F8">
        <w:rPr>
          <w:color w:val="000000"/>
        </w:rPr>
        <w:t xml:space="preserve">835 м² та 58 511 м² були отримані в результаті деколективізації (розпаду колгоспів), а дві інші (3 350 м² та 2 500 м²) – перейшли у власність батька за договором дарування від бабусі кандидата, </w:t>
      </w:r>
      <w:r w:rsidR="00FC77B1">
        <w:rPr>
          <w:color w:val="000000"/>
        </w:rPr>
        <w:t>ОСОБА_3</w:t>
      </w:r>
      <w:r w:rsidRPr="004369F8">
        <w:rPr>
          <w:color w:val="000000"/>
        </w:rPr>
        <w:t>. У свою чергу бабуся набула право власності на відповідні об’єкти за спадщиною після смерті діда кандидата.</w:t>
      </w:r>
    </w:p>
    <w:p w:rsidR="00177C20" w:rsidRPr="004369F8" w:rsidRDefault="004369F8" w:rsidP="004369F8">
      <w:pPr>
        <w:spacing w:line="240" w:lineRule="auto"/>
        <w:ind w:firstLine="709"/>
        <w:jc w:val="both"/>
        <w:rPr>
          <w:rFonts w:ascii="Times New Roman" w:eastAsia="Times New Roman" w:hAnsi="Times New Roman" w:cs="Times New Roman"/>
          <w:sz w:val="24"/>
          <w:szCs w:val="24"/>
          <w:highlight w:val="yellow"/>
        </w:rPr>
      </w:pPr>
      <w:r w:rsidRPr="004369F8">
        <w:rPr>
          <w:rFonts w:ascii="Times New Roman" w:hAnsi="Times New Roman" w:cs="Times New Roman"/>
          <w:color w:val="000000"/>
          <w:sz w:val="24"/>
          <w:szCs w:val="24"/>
        </w:rPr>
        <w:t>Під час спеціального спільного засідання кандидат повідомив, що розмір ділянок, які фактично оброблялися у 2022 році, становив близько 11 га. Вони оброблялися із залученням техніки інших осіб (родичів або знайомих), оскільки батько власної техніки не має. Розмір доходу кандидат визначив на рівні близько 16 тис. грн, пояснивши, що ця сума була встановлена ним під час заповнення декларації на підставі даних з електронного кабінету платника податків.</w:t>
      </w:r>
    </w:p>
    <w:p w:rsidR="00177C20" w:rsidRPr="008A1A07" w:rsidRDefault="00177C20" w:rsidP="004369F8">
      <w:pPr>
        <w:spacing w:line="240" w:lineRule="auto"/>
        <w:ind w:firstLine="709"/>
        <w:jc w:val="both"/>
        <w:rPr>
          <w:rFonts w:ascii="Times New Roman" w:eastAsia="Times New Roman" w:hAnsi="Times New Roman" w:cs="Times New Roman"/>
          <w:sz w:val="24"/>
          <w:szCs w:val="24"/>
          <w:highlight w:val="yellow"/>
        </w:rPr>
      </w:pPr>
    </w:p>
    <w:p w:rsidR="00177C20" w:rsidRPr="004369F8" w:rsidRDefault="00177C20" w:rsidP="004369F8">
      <w:pPr>
        <w:pStyle w:val="ae"/>
        <w:numPr>
          <w:ilvl w:val="0"/>
          <w:numId w:val="3"/>
        </w:numPr>
        <w:spacing w:line="240" w:lineRule="auto"/>
        <w:ind w:left="0" w:firstLine="720"/>
        <w:jc w:val="both"/>
        <w:rPr>
          <w:rFonts w:ascii="Times New Roman" w:eastAsia="Times New Roman" w:hAnsi="Times New Roman" w:cs="Times New Roman"/>
          <w:b/>
          <w:bCs/>
          <w:sz w:val="24"/>
          <w:szCs w:val="24"/>
        </w:rPr>
      </w:pPr>
      <w:r w:rsidRPr="004369F8">
        <w:rPr>
          <w:rFonts w:ascii="Times New Roman" w:eastAsia="Times New Roman" w:hAnsi="Times New Roman" w:cs="Times New Roman"/>
          <w:b/>
          <w:bCs/>
          <w:sz w:val="24"/>
          <w:szCs w:val="24"/>
        </w:rPr>
        <w:t>Щодо відповідності кандидата критеріям, зазначеним у частині четвертій статті 8 Закону України «Про Вищий антикорупційний суд»</w:t>
      </w:r>
    </w:p>
    <w:p w:rsidR="00C715DA" w:rsidRPr="00C715DA" w:rsidRDefault="00C715DA" w:rsidP="00C715DA">
      <w:pPr>
        <w:spacing w:line="240" w:lineRule="auto"/>
        <w:ind w:firstLine="567"/>
        <w:jc w:val="both"/>
        <w:rPr>
          <w:rFonts w:ascii="Times New Roman" w:eastAsia="Times New Roman" w:hAnsi="Times New Roman" w:cs="Times New Roman"/>
          <w:sz w:val="24"/>
          <w:szCs w:val="24"/>
        </w:rPr>
      </w:pPr>
      <w:r w:rsidRPr="00C715DA">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C715DA" w:rsidRPr="00C715DA" w:rsidRDefault="00C715DA" w:rsidP="00C715DA">
      <w:pPr>
        <w:spacing w:line="240" w:lineRule="auto"/>
        <w:ind w:firstLine="567"/>
        <w:jc w:val="both"/>
        <w:rPr>
          <w:rFonts w:ascii="Times New Roman" w:eastAsia="Times New Roman" w:hAnsi="Times New Roman" w:cs="Times New Roman"/>
          <w:sz w:val="24"/>
          <w:szCs w:val="24"/>
        </w:rPr>
      </w:pPr>
      <w:r w:rsidRPr="00C715DA">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C715DA" w:rsidRPr="00AA1081" w:rsidRDefault="00C715DA" w:rsidP="00C715DA">
      <w:pPr>
        <w:spacing w:line="240" w:lineRule="auto"/>
        <w:ind w:firstLine="709"/>
        <w:jc w:val="both"/>
        <w:rPr>
          <w:rFonts w:ascii="Times New Roman" w:eastAsia="Times New Roman" w:hAnsi="Times New Roman" w:cs="Times New Roman"/>
          <w:sz w:val="24"/>
          <w:szCs w:val="24"/>
        </w:rPr>
      </w:pPr>
      <w:r w:rsidRPr="00C715DA">
        <w:rPr>
          <w:rFonts w:ascii="Times New Roman" w:eastAsia="Times New Roman" w:hAnsi="Times New Roman" w:cs="Times New Roman"/>
          <w:sz w:val="24"/>
          <w:szCs w:val="24"/>
        </w:rPr>
        <w:t xml:space="preserve">Комісія та ГРМЕ, заслухавши доповідача від Комісії – Олексія </w:t>
      </w:r>
      <w:proofErr w:type="spellStart"/>
      <w:r w:rsidRPr="00C715DA">
        <w:rPr>
          <w:rFonts w:ascii="Times New Roman" w:eastAsia="Times New Roman" w:hAnsi="Times New Roman" w:cs="Times New Roman"/>
          <w:sz w:val="24"/>
          <w:szCs w:val="24"/>
        </w:rPr>
        <w:t>Омельяна</w:t>
      </w:r>
      <w:proofErr w:type="spellEnd"/>
      <w:r w:rsidRPr="00C715DA">
        <w:rPr>
          <w:rFonts w:ascii="Times New Roman" w:eastAsia="Times New Roman" w:hAnsi="Times New Roman" w:cs="Times New Roman"/>
          <w:sz w:val="24"/>
          <w:szCs w:val="24"/>
        </w:rPr>
        <w:t xml:space="preserve"> та доповідача від ГРМЕ – </w:t>
      </w:r>
      <w:proofErr w:type="spellStart"/>
      <w:r w:rsidRPr="00C715DA">
        <w:rPr>
          <w:rFonts w:ascii="Times New Roman" w:eastAsia="Times New Roman" w:hAnsi="Times New Roman" w:cs="Times New Roman"/>
          <w:sz w:val="24"/>
          <w:szCs w:val="24"/>
        </w:rPr>
        <w:t>Ґабріелє</w:t>
      </w:r>
      <w:proofErr w:type="spellEnd"/>
      <w:r w:rsidRPr="00C715DA">
        <w:rPr>
          <w:rFonts w:ascii="Times New Roman" w:eastAsia="Times New Roman" w:hAnsi="Times New Roman" w:cs="Times New Roman"/>
          <w:sz w:val="24"/>
          <w:szCs w:val="24"/>
        </w:rPr>
        <w:t xml:space="preserve"> </w:t>
      </w:r>
      <w:proofErr w:type="spellStart"/>
      <w:r w:rsidRPr="00C715DA">
        <w:rPr>
          <w:rFonts w:ascii="Times New Roman" w:eastAsia="Times New Roman" w:hAnsi="Times New Roman" w:cs="Times New Roman"/>
          <w:sz w:val="24"/>
          <w:szCs w:val="24"/>
        </w:rPr>
        <w:t>Юодкайте-Ґранскієне</w:t>
      </w:r>
      <w:proofErr w:type="spellEnd"/>
      <w:r w:rsidRPr="00C715DA">
        <w:rPr>
          <w:rFonts w:ascii="Times New Roman" w:eastAsia="Times New Roman" w:hAnsi="Times New Roman" w:cs="Times New Roman"/>
          <w:sz w:val="24"/>
          <w:szCs w:val="24"/>
        </w:rPr>
        <w:t>, дослідивши письмові та усні пояснення кандидата, під час закритого обговорення</w:t>
      </w:r>
      <w:r>
        <w:rPr>
          <w:rFonts w:ascii="Times New Roman" w:eastAsia="Times New Roman" w:hAnsi="Times New Roman" w:cs="Times New Roman"/>
          <w:sz w:val="24"/>
          <w:szCs w:val="24"/>
        </w:rPr>
        <w:t xml:space="preserve"> </w:t>
      </w:r>
      <w:r w:rsidRPr="00AA1081">
        <w:rPr>
          <w:rFonts w:ascii="Times New Roman" w:eastAsia="Times New Roman" w:hAnsi="Times New Roman" w:cs="Times New Roman"/>
          <w:sz w:val="24"/>
          <w:szCs w:val="24"/>
        </w:rPr>
        <w:t xml:space="preserve">винесли на голосування </w:t>
      </w:r>
      <w:r w:rsidRPr="002B4227">
        <w:rPr>
          <w:rFonts w:ascii="Times New Roman" w:eastAsia="Times New Roman" w:hAnsi="Times New Roman" w:cs="Times New Roman"/>
          <w:sz w:val="24"/>
          <w:szCs w:val="24"/>
        </w:rPr>
        <w:t>17 березня 2026 року</w:t>
      </w:r>
      <w:r>
        <w:rPr>
          <w:rFonts w:ascii="Times New Roman" w:eastAsia="Times New Roman" w:hAnsi="Times New Roman" w:cs="Times New Roman"/>
          <w:sz w:val="24"/>
          <w:szCs w:val="24"/>
        </w:rPr>
        <w:t xml:space="preserve"> </w:t>
      </w:r>
      <w:r w:rsidRPr="00AA1081">
        <w:rPr>
          <w:rFonts w:ascii="Times New Roman" w:eastAsia="Times New Roman" w:hAnsi="Times New Roman" w:cs="Times New Roman"/>
          <w:sz w:val="24"/>
          <w:szCs w:val="24"/>
        </w:rPr>
        <w:t xml:space="preserve">питання: «Чи відповідає кандидат критеріям, передбаченим частиною четвертою статті 8 Закону </w:t>
      </w:r>
      <w:r w:rsidRPr="00F83098">
        <w:rPr>
          <w:rFonts w:ascii="Times New Roman" w:eastAsia="Times New Roman" w:hAnsi="Times New Roman" w:cs="Times New Roman"/>
          <w:sz w:val="24"/>
          <w:szCs w:val="24"/>
        </w:rPr>
        <w:t>України «Про Вищий антикорупційний суд»</w:t>
      </w:r>
      <w:r w:rsidRPr="00AA1081">
        <w:rPr>
          <w:rFonts w:ascii="Times New Roman" w:eastAsia="Times New Roman" w:hAnsi="Times New Roman" w:cs="Times New Roman"/>
          <w:sz w:val="24"/>
          <w:szCs w:val="24"/>
        </w:rPr>
        <w:t xml:space="preserve">. </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r w:rsidR="00C715DA">
        <w:rPr>
          <w:rFonts w:ascii="Times New Roman" w:eastAsia="Times New Roman" w:hAnsi="Times New Roman" w:cs="Times New Roman"/>
          <w:sz w:val="24"/>
          <w:szCs w:val="24"/>
        </w:rPr>
        <w:t xml:space="preserve">чотирнадцять членів Комісії </w:t>
      </w:r>
      <w:r w:rsidR="004369F8" w:rsidRPr="004369F8">
        <w:rPr>
          <w:rFonts w:ascii="Times New Roman" w:eastAsia="Times New Roman" w:hAnsi="Times New Roman" w:cs="Times New Roman"/>
          <w:sz w:val="24"/>
          <w:szCs w:val="24"/>
        </w:rPr>
        <w:t>(Андрій ПАСІЧНИК, Михайло БОГОНІС, Людмила ВОЛКОВА, Віталій ГАЦЕ</w:t>
      </w:r>
      <w:r w:rsidR="00C715DA">
        <w:rPr>
          <w:rFonts w:ascii="Times New Roman" w:eastAsia="Times New Roman" w:hAnsi="Times New Roman" w:cs="Times New Roman"/>
          <w:sz w:val="24"/>
          <w:szCs w:val="24"/>
        </w:rPr>
        <w:t xml:space="preserve">ЛЮК, </w:t>
      </w:r>
      <w:r w:rsidR="004369F8" w:rsidRPr="004369F8">
        <w:rPr>
          <w:rFonts w:ascii="Times New Roman" w:eastAsia="Times New Roman" w:hAnsi="Times New Roman" w:cs="Times New Roman"/>
          <w:sz w:val="24"/>
          <w:szCs w:val="24"/>
        </w:rPr>
        <w:t>Ярослав ДУХ, Роман КИДИСЮК, Надія КОБЕ</w:t>
      </w:r>
      <w:r w:rsidR="00C715DA">
        <w:rPr>
          <w:rFonts w:ascii="Times New Roman" w:eastAsia="Times New Roman" w:hAnsi="Times New Roman" w:cs="Times New Roman"/>
          <w:sz w:val="24"/>
          <w:szCs w:val="24"/>
        </w:rPr>
        <w:t xml:space="preserve">ЦЬКА, Олег КОЛІУШ, Ігор КУШНІР, </w:t>
      </w:r>
      <w:r w:rsidR="004369F8" w:rsidRPr="004369F8">
        <w:rPr>
          <w:rFonts w:ascii="Times New Roman" w:eastAsia="Times New Roman" w:hAnsi="Times New Roman" w:cs="Times New Roman"/>
          <w:sz w:val="24"/>
          <w:szCs w:val="24"/>
        </w:rPr>
        <w:t xml:space="preserve">Руслан МЕЛЬНИК, Олексій ОМЕЛЬЯН, Руслан СИДОРОВИЧ, Сергій ЧУМАК, Галина ШЕВЧУК) та шість членів ГРМЕ (Роберт </w:t>
      </w:r>
      <w:proofErr w:type="spellStart"/>
      <w:r w:rsidR="004369F8" w:rsidRPr="004369F8">
        <w:rPr>
          <w:rFonts w:ascii="Times New Roman" w:eastAsia="Times New Roman" w:hAnsi="Times New Roman" w:cs="Times New Roman"/>
          <w:sz w:val="24"/>
          <w:szCs w:val="24"/>
        </w:rPr>
        <w:t>Гайн</w:t>
      </w:r>
      <w:proofErr w:type="spellEnd"/>
      <w:r w:rsidR="004369F8" w:rsidRPr="004369F8">
        <w:rPr>
          <w:rFonts w:ascii="Times New Roman" w:eastAsia="Times New Roman" w:hAnsi="Times New Roman" w:cs="Times New Roman"/>
          <w:sz w:val="24"/>
          <w:szCs w:val="24"/>
        </w:rPr>
        <w:t xml:space="preserve"> БРУКХАЙЗЕН, Норман ААС,</w:t>
      </w:r>
      <w:r w:rsidR="00156E75">
        <w:rPr>
          <w:rFonts w:ascii="Times New Roman" w:eastAsia="Times New Roman" w:hAnsi="Times New Roman" w:cs="Times New Roman"/>
          <w:sz w:val="24"/>
          <w:szCs w:val="24"/>
        </w:rPr>
        <w:t xml:space="preserve"> </w:t>
      </w:r>
      <w:proofErr w:type="spellStart"/>
      <w:r w:rsidR="004369F8" w:rsidRPr="004369F8">
        <w:rPr>
          <w:rFonts w:ascii="Times New Roman" w:eastAsia="Times New Roman" w:hAnsi="Times New Roman" w:cs="Times New Roman"/>
          <w:sz w:val="24"/>
          <w:szCs w:val="24"/>
        </w:rPr>
        <w:t>Ґабріелє</w:t>
      </w:r>
      <w:proofErr w:type="spellEnd"/>
      <w:r w:rsidR="00156E75">
        <w:rPr>
          <w:rFonts w:ascii="Times New Roman" w:eastAsia="Times New Roman" w:hAnsi="Times New Roman" w:cs="Times New Roman"/>
          <w:sz w:val="24"/>
          <w:szCs w:val="24"/>
        </w:rPr>
        <w:t> </w:t>
      </w:r>
      <w:r w:rsidR="004369F8" w:rsidRPr="004369F8">
        <w:rPr>
          <w:rFonts w:ascii="Times New Roman" w:eastAsia="Times New Roman" w:hAnsi="Times New Roman" w:cs="Times New Roman"/>
          <w:sz w:val="24"/>
          <w:szCs w:val="24"/>
        </w:rPr>
        <w:t xml:space="preserve">ЮОДКАЙТЕ-ҐРАНСКІЄНЕ, Мері К. БАТЛЕР, </w:t>
      </w:r>
      <w:proofErr w:type="spellStart"/>
      <w:r w:rsidR="004369F8" w:rsidRPr="004369F8">
        <w:rPr>
          <w:rFonts w:ascii="Times New Roman" w:eastAsia="Times New Roman" w:hAnsi="Times New Roman" w:cs="Times New Roman"/>
          <w:sz w:val="24"/>
          <w:szCs w:val="24"/>
        </w:rPr>
        <w:t>Джесік</w:t>
      </w:r>
      <w:r w:rsidR="00831D8E">
        <w:rPr>
          <w:rFonts w:ascii="Times New Roman" w:eastAsia="Times New Roman" w:hAnsi="Times New Roman" w:cs="Times New Roman"/>
          <w:sz w:val="24"/>
          <w:szCs w:val="24"/>
        </w:rPr>
        <w:t>а</w:t>
      </w:r>
      <w:proofErr w:type="spellEnd"/>
      <w:r w:rsidR="004369F8" w:rsidRPr="004369F8">
        <w:rPr>
          <w:rFonts w:ascii="Times New Roman" w:eastAsia="Times New Roman" w:hAnsi="Times New Roman" w:cs="Times New Roman"/>
          <w:sz w:val="24"/>
          <w:szCs w:val="24"/>
        </w:rPr>
        <w:t xml:space="preserve"> ЛОТ ТОМПСОН, Джон </w:t>
      </w:r>
      <w:proofErr w:type="spellStart"/>
      <w:r w:rsidR="004369F8" w:rsidRPr="004369F8">
        <w:rPr>
          <w:rFonts w:ascii="Times New Roman" w:eastAsia="Times New Roman" w:hAnsi="Times New Roman" w:cs="Times New Roman"/>
          <w:sz w:val="24"/>
          <w:szCs w:val="24"/>
        </w:rPr>
        <w:t>Дж</w:t>
      </w:r>
      <w:proofErr w:type="spellEnd"/>
      <w:r w:rsidR="004369F8" w:rsidRPr="004369F8">
        <w:rPr>
          <w:rFonts w:ascii="Times New Roman" w:eastAsia="Times New Roman" w:hAnsi="Times New Roman" w:cs="Times New Roman"/>
          <w:sz w:val="24"/>
          <w:szCs w:val="24"/>
        </w:rPr>
        <w:t>. О’САЛЛІВАН).</w:t>
      </w:r>
      <w:r w:rsidR="009504A7" w:rsidRPr="004369F8">
        <w:rPr>
          <w:rFonts w:ascii="Times New Roman" w:eastAsia="Times New Roman" w:hAnsi="Times New Roman" w:cs="Times New Roman"/>
          <w:sz w:val="24"/>
          <w:szCs w:val="24"/>
        </w:rPr>
        <w:t xml:space="preserve"> Участь у голосуванні не бра</w:t>
      </w:r>
      <w:r w:rsidR="004369F8" w:rsidRPr="004369F8">
        <w:rPr>
          <w:rFonts w:ascii="Times New Roman" w:eastAsia="Times New Roman" w:hAnsi="Times New Roman" w:cs="Times New Roman"/>
          <w:sz w:val="24"/>
          <w:szCs w:val="24"/>
        </w:rPr>
        <w:t>в</w:t>
      </w:r>
      <w:r w:rsidR="009504A7" w:rsidRPr="004369F8">
        <w:rPr>
          <w:rFonts w:ascii="Times New Roman" w:eastAsia="Times New Roman" w:hAnsi="Times New Roman" w:cs="Times New Roman"/>
          <w:sz w:val="24"/>
          <w:szCs w:val="24"/>
        </w:rPr>
        <w:t xml:space="preserve"> </w:t>
      </w:r>
      <w:r w:rsidR="004369F8" w:rsidRPr="004369F8">
        <w:rPr>
          <w:rFonts w:ascii="Times New Roman" w:eastAsia="Times New Roman" w:hAnsi="Times New Roman" w:cs="Times New Roman"/>
          <w:sz w:val="24"/>
          <w:szCs w:val="24"/>
        </w:rPr>
        <w:t>один</w:t>
      </w:r>
      <w:r w:rsidR="009504A7" w:rsidRPr="004369F8">
        <w:rPr>
          <w:rFonts w:ascii="Times New Roman" w:eastAsia="Times New Roman" w:hAnsi="Times New Roman" w:cs="Times New Roman"/>
          <w:sz w:val="24"/>
          <w:szCs w:val="24"/>
        </w:rPr>
        <w:t xml:space="preserve"> член Комісії (</w:t>
      </w:r>
      <w:r w:rsidR="004369F8" w:rsidRPr="004369F8">
        <w:rPr>
          <w:rFonts w:ascii="Times New Roman" w:eastAsia="Times New Roman" w:hAnsi="Times New Roman" w:cs="Times New Roman"/>
          <w:sz w:val="24"/>
          <w:szCs w:val="24"/>
        </w:rPr>
        <w:t>Роман САБОДАШ</w:t>
      </w:r>
      <w:r w:rsidR="009504A7" w:rsidRPr="004369F8">
        <w:rPr>
          <w:rFonts w:ascii="Times New Roman" w:eastAsia="Times New Roman" w:hAnsi="Times New Roman" w:cs="Times New Roman"/>
          <w:sz w:val="24"/>
          <w:szCs w:val="24"/>
        </w:rPr>
        <w:t>).</w:t>
      </w:r>
    </w:p>
    <w:p w:rsidR="00177C20" w:rsidRPr="00177C20" w:rsidRDefault="005B7AED" w:rsidP="005B7AED">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Таким чином, кандидат на посаду судді Вищого антикорупційного суду визнається таким, що </w:t>
      </w:r>
      <w:r w:rsidRPr="004369F8">
        <w:rPr>
          <w:rFonts w:ascii="Times New Roman" w:eastAsia="Times New Roman" w:hAnsi="Times New Roman" w:cs="Times New Roman"/>
          <w:sz w:val="24"/>
          <w:szCs w:val="24"/>
        </w:rPr>
        <w:t>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України </w:t>
      </w:r>
      <w:r w:rsidRPr="00177C20">
        <w:rPr>
          <w:rFonts w:ascii="Times New Roman" w:eastAsia="Times New Roman" w:hAnsi="Times New Roman" w:cs="Times New Roman"/>
          <w:sz w:val="24"/>
          <w:szCs w:val="24"/>
        </w:rPr>
        <w:lastRenderedPageBreak/>
        <w:t>«Про Вищий антикорупційний суд».</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Pr>
          <w:rFonts w:ascii="Times New Roman" w:eastAsia="Times New Roman" w:hAnsi="Times New Roman" w:cs="Times New Roman"/>
          <w:sz w:val="24"/>
          <w:szCs w:val="24"/>
        </w:rPr>
        <w:t>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77C20" w:rsidRDefault="001A16DD" w:rsidP="00177C20">
      <w:pPr>
        <w:spacing w:line="240" w:lineRule="auto"/>
        <w:ind w:firstLine="567"/>
        <w:jc w:val="both"/>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A16DD">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4369F8" w:rsidRPr="004369F8">
        <w:rPr>
          <w:rFonts w:ascii="Times New Roman" w:eastAsia="Times New Roman" w:hAnsi="Times New Roman" w:cs="Times New Roman"/>
          <w:sz w:val="24"/>
          <w:szCs w:val="24"/>
        </w:rPr>
        <w:t>Рубащенка</w:t>
      </w:r>
      <w:proofErr w:type="spellEnd"/>
      <w:r w:rsidR="004369F8" w:rsidRPr="004369F8">
        <w:rPr>
          <w:rFonts w:ascii="Times New Roman" w:eastAsia="Times New Roman" w:hAnsi="Times New Roman" w:cs="Times New Roman"/>
          <w:sz w:val="24"/>
          <w:szCs w:val="24"/>
        </w:rPr>
        <w:t xml:space="preserve"> Миколу Анатолійовича</w:t>
      </w:r>
      <w:r w:rsidRPr="00177C20">
        <w:rPr>
          <w:rFonts w:ascii="Times New Roman" w:eastAsia="Times New Roman" w:hAnsi="Times New Roman" w:cs="Times New Roman"/>
          <w:sz w:val="24"/>
          <w:szCs w:val="24"/>
        </w:rPr>
        <w:t xml:space="preserve"> таким, що відповідає критеріям, визначеним частиною </w:t>
      </w:r>
      <w:r w:rsidR="001A16DD">
        <w:rPr>
          <w:rFonts w:ascii="Times New Roman" w:eastAsia="Times New Roman" w:hAnsi="Times New Roman" w:cs="Times New Roman"/>
          <w:sz w:val="24"/>
          <w:szCs w:val="24"/>
        </w:rPr>
        <w:t>четвертою</w:t>
      </w:r>
      <w:r w:rsidRPr="00177C20">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0D75" w:rsidRDefault="00330D75">
      <w:pPr>
        <w:spacing w:line="240" w:lineRule="auto"/>
      </w:pPr>
      <w:r>
        <w:separator/>
      </w:r>
    </w:p>
  </w:endnote>
  <w:endnote w:type="continuationSeparator" w:id="0">
    <w:p w:rsidR="00330D75" w:rsidRDefault="00330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0D75" w:rsidRDefault="00330D75">
      <w:pPr>
        <w:spacing w:line="240" w:lineRule="auto"/>
      </w:pPr>
      <w:r>
        <w:separator/>
      </w:r>
    </w:p>
  </w:footnote>
  <w:footnote w:type="continuationSeparator" w:id="0">
    <w:p w:rsidR="00330D75" w:rsidRDefault="00330D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303D0">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FF5AC3"/>
    <w:multiLevelType w:val="hybridMultilevel"/>
    <w:tmpl w:val="0F48AE94"/>
    <w:lvl w:ilvl="0" w:tplc="E0326DD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71DE6"/>
    <w:rsid w:val="00156E75"/>
    <w:rsid w:val="00177C20"/>
    <w:rsid w:val="001A16DD"/>
    <w:rsid w:val="001C55B0"/>
    <w:rsid w:val="001D1AD0"/>
    <w:rsid w:val="002B1E7A"/>
    <w:rsid w:val="002B4227"/>
    <w:rsid w:val="002F2719"/>
    <w:rsid w:val="00330D75"/>
    <w:rsid w:val="003D6C64"/>
    <w:rsid w:val="003E2BEE"/>
    <w:rsid w:val="004369F8"/>
    <w:rsid w:val="00457670"/>
    <w:rsid w:val="00465D12"/>
    <w:rsid w:val="00490E0F"/>
    <w:rsid w:val="004A12BD"/>
    <w:rsid w:val="004F7BBB"/>
    <w:rsid w:val="005017C8"/>
    <w:rsid w:val="005157C6"/>
    <w:rsid w:val="005B7AED"/>
    <w:rsid w:val="005F27CB"/>
    <w:rsid w:val="0060170B"/>
    <w:rsid w:val="00611D91"/>
    <w:rsid w:val="00634541"/>
    <w:rsid w:val="0064321C"/>
    <w:rsid w:val="006A5D93"/>
    <w:rsid w:val="00712004"/>
    <w:rsid w:val="00713913"/>
    <w:rsid w:val="00731F44"/>
    <w:rsid w:val="00794F17"/>
    <w:rsid w:val="007B30B7"/>
    <w:rsid w:val="00810988"/>
    <w:rsid w:val="00831D8E"/>
    <w:rsid w:val="00853CC0"/>
    <w:rsid w:val="00887981"/>
    <w:rsid w:val="008A1A07"/>
    <w:rsid w:val="008C058C"/>
    <w:rsid w:val="008C74ED"/>
    <w:rsid w:val="009504A7"/>
    <w:rsid w:val="009B664A"/>
    <w:rsid w:val="00A34AE0"/>
    <w:rsid w:val="00A62E85"/>
    <w:rsid w:val="00B70B1E"/>
    <w:rsid w:val="00BB5E0E"/>
    <w:rsid w:val="00C23607"/>
    <w:rsid w:val="00C340C1"/>
    <w:rsid w:val="00C715DA"/>
    <w:rsid w:val="00EB4EED"/>
    <w:rsid w:val="00ED7EEE"/>
    <w:rsid w:val="00F24083"/>
    <w:rsid w:val="00F303D0"/>
    <w:rsid w:val="00F471F6"/>
    <w:rsid w:val="00F6070F"/>
    <w:rsid w:val="00F753E0"/>
    <w:rsid w:val="00F946C0"/>
    <w:rsid w:val="00FC77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DF25"/>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paragraph" w:styleId="af0">
    <w:name w:val="Normal (Web)"/>
    <w:basedOn w:val="a"/>
    <w:uiPriority w:val="99"/>
    <w:unhideWhenUsed/>
    <w:rsid w:val="004369F8"/>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zFOafrHm8fY?si=PFa9BzpCdhHVv4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9356</Words>
  <Characters>5334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21</cp:revision>
  <dcterms:created xsi:type="dcterms:W3CDTF">2025-04-09T09:10:00Z</dcterms:created>
  <dcterms:modified xsi:type="dcterms:W3CDTF">2026-05-25T11:02:00Z</dcterms:modified>
</cp:coreProperties>
</file>