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B2E" w:rsidRPr="00A85B2E" w:rsidRDefault="00A85B2E" w:rsidP="00A85B2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85B2E" w:rsidRPr="00A85B2E" w:rsidRDefault="00A85B2E" w:rsidP="00A85B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5B2E" w:rsidRPr="00A85B2E" w:rsidRDefault="00A85B2E" w:rsidP="00A85B2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A85B2E" w:rsidRPr="00A85B2E" w:rsidRDefault="00A85B2E" w:rsidP="00A85B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85B2E">
        <w:rPr>
          <w:rFonts w:ascii="Times New Roman" w:hAnsi="Times New Roman" w:cs="Times New Roman"/>
          <w:sz w:val="26"/>
          <w:szCs w:val="26"/>
          <w:lang w:val="uk-UA"/>
        </w:rPr>
        <w:t xml:space="preserve"> 30 липня 2025 року</w:t>
      </w:r>
    </w:p>
    <w:p w:rsidR="00A85B2E" w:rsidRPr="00A85B2E" w:rsidRDefault="00A85B2E" w:rsidP="00A85B2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85B2E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5B2E" w:rsidRPr="00A85B2E" w:rsidRDefault="00A85B2E" w:rsidP="00167758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85B2E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85B2E" w:rsidRPr="00A85B2E" w:rsidRDefault="00A85B2E" w:rsidP="00167758">
      <w:pPr>
        <w:spacing w:before="960" w:after="36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85B2E" w:rsidRPr="00167758" w:rsidRDefault="00A85B2E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7758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Господарського суду міста Києва.</w:t>
      </w:r>
    </w:p>
    <w:p w:rsidR="00A85B2E" w:rsidRPr="00167758" w:rsidRDefault="00A85B2E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5B2E" w:rsidRPr="00167758" w:rsidRDefault="00A85B2E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6775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Сабодаш Р.Б.)</w:t>
      </w:r>
    </w:p>
    <w:p w:rsidR="00A85B2E" w:rsidRPr="00167758" w:rsidRDefault="00A85B2E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85B2E" w:rsidRPr="00167758" w:rsidRDefault="00A85B2E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7758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Київського районного суду міста Полтави.</w:t>
      </w:r>
    </w:p>
    <w:p w:rsidR="00A85B2E" w:rsidRPr="00167758" w:rsidRDefault="00A85B2E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5B2E" w:rsidRPr="00167758" w:rsidRDefault="00A85B2E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6775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BC556A" w:rsidRPr="00167758" w:rsidRDefault="00BC556A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C556A" w:rsidRPr="00167758" w:rsidRDefault="00BC556A" w:rsidP="00BC556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7758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1677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відрядження суддів до Первомайського міськрайонного суду Миколаївської області</w:t>
      </w:r>
      <w:r w:rsidRPr="00167758">
        <w:rPr>
          <w:rFonts w:ascii="Times New Roman" w:hAnsi="Times New Roman" w:cs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BC556A" w:rsidRPr="00167758" w:rsidRDefault="00BC556A" w:rsidP="00BC556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C556A" w:rsidRPr="00167758" w:rsidRDefault="00BC556A" w:rsidP="00BC556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6775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167758" w:rsidRPr="00167758" w:rsidRDefault="00167758" w:rsidP="001677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7758" w:rsidRPr="00167758" w:rsidRDefault="00167758" w:rsidP="001677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7758">
        <w:rPr>
          <w:rFonts w:ascii="Times New Roman" w:hAnsi="Times New Roman" w:cs="Times New Roman"/>
          <w:sz w:val="26"/>
          <w:szCs w:val="26"/>
          <w:lang w:val="uk-UA"/>
        </w:rPr>
        <w:t xml:space="preserve">4. Про відрядження суддів </w:t>
      </w:r>
      <w:proofErr w:type="spellStart"/>
      <w:r w:rsidRPr="00167758">
        <w:rPr>
          <w:rFonts w:ascii="Times New Roman" w:hAnsi="Times New Roman" w:cs="Times New Roman"/>
          <w:sz w:val="26"/>
          <w:szCs w:val="26"/>
          <w:lang w:val="uk-UA"/>
        </w:rPr>
        <w:t>Селидівського</w:t>
      </w:r>
      <w:proofErr w:type="spellEnd"/>
      <w:r w:rsidRPr="00167758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Донецької області (оголошено перерву 02 жовтня 2024 року).</w:t>
      </w:r>
    </w:p>
    <w:p w:rsidR="00167758" w:rsidRPr="00167758" w:rsidRDefault="00167758" w:rsidP="001677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7758" w:rsidRPr="00167758" w:rsidRDefault="00167758" w:rsidP="001677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6775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167758" w:rsidRPr="00167758" w:rsidRDefault="00167758" w:rsidP="001677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167758" w:rsidRPr="00167758" w:rsidRDefault="00167758" w:rsidP="001677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7758">
        <w:rPr>
          <w:rFonts w:ascii="Times New Roman" w:hAnsi="Times New Roman" w:cs="Times New Roman"/>
          <w:sz w:val="26"/>
          <w:szCs w:val="26"/>
          <w:lang w:val="uk-UA"/>
        </w:rPr>
        <w:t xml:space="preserve">5. Про дострокове закінчення відрядження судді Приморського районного суду міста Маріуполя Донецької області Федотової Вікторії Миколаївни до </w:t>
      </w:r>
      <w:proofErr w:type="spellStart"/>
      <w:r w:rsidRPr="00167758">
        <w:rPr>
          <w:rFonts w:ascii="Times New Roman" w:hAnsi="Times New Roman" w:cs="Times New Roman"/>
          <w:sz w:val="26"/>
          <w:szCs w:val="26"/>
          <w:lang w:val="uk-UA"/>
        </w:rPr>
        <w:t>Новокодацького</w:t>
      </w:r>
      <w:proofErr w:type="spellEnd"/>
      <w:r w:rsidRPr="00167758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Дніпра та одночасне її відрядження (оголошено перерву 09 квітня 2025 року).</w:t>
      </w:r>
    </w:p>
    <w:p w:rsidR="00167758" w:rsidRPr="00167758" w:rsidRDefault="00167758" w:rsidP="001677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7758" w:rsidRPr="00167758" w:rsidRDefault="00167758" w:rsidP="001677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6775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167758" w:rsidRPr="00167758" w:rsidRDefault="00167758" w:rsidP="001677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67758" w:rsidRPr="00167758" w:rsidRDefault="00167758" w:rsidP="001677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7758">
        <w:rPr>
          <w:rFonts w:ascii="Times New Roman" w:hAnsi="Times New Roman" w:cs="Times New Roman"/>
          <w:sz w:val="26"/>
          <w:szCs w:val="26"/>
          <w:lang w:val="uk-UA"/>
        </w:rPr>
        <w:t xml:space="preserve">6. Про дострокове закінчення відрядження судді Чернігівського районного суду Запорізької області Проценко Анни Миколаївни до </w:t>
      </w:r>
      <w:proofErr w:type="spellStart"/>
      <w:r w:rsidRPr="00167758">
        <w:rPr>
          <w:rFonts w:ascii="Times New Roman" w:hAnsi="Times New Roman" w:cs="Times New Roman"/>
          <w:sz w:val="26"/>
          <w:szCs w:val="26"/>
          <w:lang w:val="uk-UA"/>
        </w:rPr>
        <w:t>Кельменецького</w:t>
      </w:r>
      <w:proofErr w:type="spellEnd"/>
      <w:r w:rsidRPr="00167758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Чернівецької області та одночасне її відрядження (оголошено перерву            09 квітня 2025 року).</w:t>
      </w:r>
    </w:p>
    <w:p w:rsidR="00167758" w:rsidRPr="00167758" w:rsidRDefault="00167758" w:rsidP="001677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67758" w:rsidRPr="00167758" w:rsidRDefault="00167758" w:rsidP="001677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6775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BC556A" w:rsidRPr="00BC556A" w:rsidRDefault="00BC556A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BC556A" w:rsidRPr="00BC556A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363" w:rsidRDefault="00AF6363" w:rsidP="00376821">
      <w:pPr>
        <w:spacing w:after="0" w:line="240" w:lineRule="auto"/>
      </w:pPr>
      <w:r>
        <w:separator/>
      </w:r>
    </w:p>
  </w:endnote>
  <w:endnote w:type="continuationSeparator" w:id="0">
    <w:p w:rsidR="00AF6363" w:rsidRDefault="00AF636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363" w:rsidRDefault="00AF6363" w:rsidP="00376821">
      <w:pPr>
        <w:spacing w:after="0" w:line="240" w:lineRule="auto"/>
      </w:pPr>
      <w:r>
        <w:separator/>
      </w:r>
    </w:p>
  </w:footnote>
  <w:footnote w:type="continuationSeparator" w:id="0">
    <w:p w:rsidR="00AF6363" w:rsidRDefault="00AF636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67758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15D86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14D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E"/>
    <w:rsid w:val="00A908B7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AF6363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556A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2F6B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1B93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1D91-0EDD-4A59-A6B2-D9ECBCA9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Легідзь Юлія Михайлівна</cp:lastModifiedBy>
  <cp:revision>2</cp:revision>
  <cp:lastPrinted>2025-07-03T11:07:00Z</cp:lastPrinted>
  <dcterms:created xsi:type="dcterms:W3CDTF">2025-07-11T11:14:00Z</dcterms:created>
  <dcterms:modified xsi:type="dcterms:W3CDTF">2025-07-11T11:14:00Z</dcterms:modified>
</cp:coreProperties>
</file>